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2D709" w14:textId="65C7D44E" w:rsidR="000366F9" w:rsidRPr="003D669F" w:rsidRDefault="00DA1122" w:rsidP="00675F1A">
      <w:pPr>
        <w:pStyle w:val="TdocHeader2"/>
        <w:tabs>
          <w:tab w:val="clear" w:pos="1701"/>
        </w:tabs>
        <w:jc w:val="left"/>
        <w:rPr>
          <w:rFonts w:ascii="Calibri" w:eastAsiaTheme="minorEastAsia" w:hAnsi="Calibri" w:cs="Calibri"/>
          <w:bCs/>
          <w:noProof/>
          <w:sz w:val="24"/>
          <w:szCs w:val="24"/>
          <w:highlight w:val="yellow"/>
          <w:lang w:val="en-US" w:eastAsia="ja-JP"/>
        </w:rPr>
      </w:pPr>
      <w:bookmarkStart w:id="0" w:name="_Hlk53839822"/>
      <w:bookmarkStart w:id="1" w:name="OLE_LINK1"/>
      <w:bookmarkStart w:id="2" w:name="OLE_LINK2"/>
      <w:bookmarkEnd w:id="0"/>
      <w:r w:rsidRPr="00DA1122">
        <w:rPr>
          <w:rFonts w:ascii="Calibri" w:eastAsia="Times New Roman" w:hAnsi="Calibri" w:cs="Calibri"/>
          <w:bCs/>
          <w:noProof/>
          <w:sz w:val="24"/>
          <w:szCs w:val="24"/>
          <w:lang w:val="en-US" w:eastAsia="zh-CN"/>
        </w:rPr>
        <w:t>3GPP TSG-RAN</w:t>
      </w:r>
      <w:r w:rsidR="001F3BB1">
        <w:rPr>
          <w:rFonts w:ascii="Calibri" w:eastAsia="SimSun" w:hAnsi="Calibri" w:cs="Calibri"/>
          <w:bCs/>
          <w:noProof/>
          <w:sz w:val="24"/>
          <w:szCs w:val="24"/>
          <w:lang w:val="en-US" w:eastAsia="zh-CN"/>
        </w:rPr>
        <w:t>3</w:t>
      </w:r>
      <w:r w:rsidRPr="00DA1122">
        <w:rPr>
          <w:rFonts w:ascii="Calibri" w:eastAsia="Times New Roman" w:hAnsi="Calibri" w:cs="Calibri"/>
          <w:bCs/>
          <w:noProof/>
          <w:sz w:val="24"/>
          <w:szCs w:val="24"/>
          <w:lang w:val="en-US" w:eastAsia="zh-CN"/>
        </w:rPr>
        <w:t xml:space="preserve"> WG Meeting #</w:t>
      </w:r>
      <w:r w:rsidR="0057588D" w:rsidRPr="00E87620">
        <w:rPr>
          <w:rFonts w:ascii="Calibri" w:eastAsia="Times New Roman" w:hAnsi="Calibri" w:cs="Calibri"/>
          <w:bCs/>
          <w:noProof/>
          <w:sz w:val="24"/>
          <w:szCs w:val="24"/>
          <w:lang w:val="en-US" w:eastAsia="zh-CN"/>
        </w:rPr>
        <w:t>112</w:t>
      </w:r>
      <w:r w:rsidRPr="00E87620">
        <w:rPr>
          <w:rFonts w:ascii="Calibri" w:eastAsia="Times New Roman" w:hAnsi="Calibri" w:cs="Calibri"/>
          <w:bCs/>
          <w:noProof/>
          <w:sz w:val="24"/>
          <w:szCs w:val="24"/>
          <w:lang w:val="en-US" w:eastAsia="zh-CN"/>
        </w:rPr>
        <w:t>-e</w:t>
      </w:r>
      <w:r w:rsidR="000366F9" w:rsidRPr="003D669F">
        <w:rPr>
          <w:rFonts w:ascii="Calibri" w:eastAsia="Times New Roman" w:hAnsi="Calibri" w:cs="Calibri"/>
          <w:bCs/>
          <w:noProof/>
          <w:sz w:val="24"/>
          <w:szCs w:val="24"/>
          <w:lang w:val="en-US" w:eastAsia="zh-CN"/>
        </w:rPr>
        <w:t xml:space="preserve">                                              </w:t>
      </w:r>
      <w:r w:rsidR="000366F9" w:rsidRPr="003D669F">
        <w:rPr>
          <w:rFonts w:ascii="Calibri" w:eastAsia="Times New Roman" w:hAnsi="Calibri" w:cs="Calibri"/>
          <w:bCs/>
          <w:noProof/>
          <w:sz w:val="24"/>
          <w:szCs w:val="24"/>
          <w:lang w:val="en-US" w:eastAsia="zh-CN"/>
        </w:rPr>
        <w:tab/>
      </w:r>
      <w:r w:rsidR="00272A3F">
        <w:rPr>
          <w:rFonts w:ascii="Calibri" w:eastAsiaTheme="minorEastAsia" w:hAnsi="Calibri" w:cs="Calibri" w:hint="eastAsia"/>
          <w:bCs/>
          <w:noProof/>
          <w:sz w:val="24"/>
          <w:szCs w:val="24"/>
          <w:lang w:val="en-US" w:eastAsia="ja-JP"/>
        </w:rPr>
        <w:t xml:space="preserve">　　　　　　　　</w:t>
      </w:r>
      <w:r w:rsidR="005E2C22">
        <w:rPr>
          <w:rFonts w:ascii="Calibri" w:eastAsiaTheme="minorEastAsia" w:hAnsi="Calibri" w:cs="Calibri" w:hint="eastAsia"/>
          <w:bCs/>
          <w:noProof/>
          <w:sz w:val="24"/>
          <w:szCs w:val="24"/>
          <w:lang w:val="en-US" w:eastAsia="ja-JP"/>
        </w:rPr>
        <w:t xml:space="preserve">    </w:t>
      </w:r>
      <w:r w:rsidR="006B64F0">
        <w:rPr>
          <w:rFonts w:ascii="Calibri" w:eastAsiaTheme="minorEastAsia" w:hAnsi="Calibri" w:cs="Calibri" w:hint="eastAsia"/>
          <w:bCs/>
          <w:noProof/>
          <w:sz w:val="24"/>
          <w:szCs w:val="24"/>
          <w:lang w:val="en-US" w:eastAsia="ja-JP"/>
        </w:rPr>
        <w:t xml:space="preserve">　</w:t>
      </w:r>
      <w:r w:rsidR="009E260B">
        <w:rPr>
          <w:rFonts w:ascii="Calibri" w:eastAsiaTheme="minorEastAsia" w:hAnsi="Calibri" w:cs="Calibri" w:hint="eastAsia"/>
          <w:bCs/>
          <w:noProof/>
          <w:sz w:val="24"/>
          <w:szCs w:val="24"/>
          <w:lang w:val="en-US" w:eastAsia="ja-JP"/>
        </w:rPr>
        <w:t xml:space="preserve"> </w:t>
      </w:r>
      <w:r w:rsidR="009E260B">
        <w:rPr>
          <w:rFonts w:ascii="Calibri" w:eastAsiaTheme="minorEastAsia" w:hAnsi="Calibri" w:cs="Calibri"/>
          <w:bCs/>
          <w:noProof/>
          <w:sz w:val="24"/>
          <w:szCs w:val="24"/>
          <w:lang w:val="en-US" w:eastAsia="ja-JP"/>
        </w:rPr>
        <w:t xml:space="preserve">       </w:t>
      </w:r>
      <w:r w:rsidR="00AE0AAE" w:rsidRPr="00AE0AAE">
        <w:rPr>
          <w:rFonts w:ascii="Calibri" w:eastAsiaTheme="minorEastAsia" w:hAnsi="Calibri" w:cs="Calibri"/>
          <w:bCs/>
          <w:noProof/>
          <w:sz w:val="24"/>
          <w:szCs w:val="24"/>
          <w:lang w:val="en-US" w:eastAsia="ja-JP"/>
        </w:rPr>
        <w:t>R3-212083</w:t>
      </w:r>
    </w:p>
    <w:p w14:paraId="2EC06975" w14:textId="10CA09BE" w:rsidR="009E3446" w:rsidRPr="003D669F" w:rsidRDefault="00DA1122" w:rsidP="002F4A4E">
      <w:pPr>
        <w:pStyle w:val="TdocHeader2"/>
        <w:spacing w:afterLines="50" w:after="120"/>
        <w:rPr>
          <w:rFonts w:ascii="Calibri" w:eastAsiaTheme="minorEastAsia" w:hAnsi="Calibri" w:cs="Calibri"/>
          <w:sz w:val="24"/>
          <w:szCs w:val="24"/>
          <w:lang w:val="en-US" w:eastAsia="ja-JP"/>
        </w:rPr>
      </w:pPr>
      <w:r w:rsidRPr="00DA1122">
        <w:rPr>
          <w:rFonts w:ascii="Calibri" w:eastAsiaTheme="minorEastAsia" w:hAnsi="Calibri" w:cs="Calibri"/>
          <w:bCs/>
          <w:noProof/>
          <w:sz w:val="24"/>
          <w:szCs w:val="24"/>
          <w:lang w:val="en-US" w:eastAsia="ja-JP"/>
        </w:rPr>
        <w:t xml:space="preserve">Online, </w:t>
      </w:r>
      <w:r w:rsidR="0057588D">
        <w:rPr>
          <w:rFonts w:ascii="Calibri" w:eastAsiaTheme="minorEastAsia" w:hAnsi="Calibri" w:cs="Calibri"/>
          <w:bCs/>
          <w:noProof/>
          <w:sz w:val="24"/>
          <w:szCs w:val="24"/>
          <w:lang w:val="en-US" w:eastAsia="ja-JP"/>
        </w:rPr>
        <w:t>May</w:t>
      </w:r>
      <w:r w:rsidRPr="00DA1122">
        <w:rPr>
          <w:rFonts w:ascii="Calibri" w:eastAsiaTheme="minorEastAsia" w:hAnsi="Calibri" w:cs="Calibri"/>
          <w:bCs/>
          <w:noProof/>
          <w:sz w:val="24"/>
          <w:szCs w:val="24"/>
          <w:lang w:val="en-US" w:eastAsia="ja-JP"/>
        </w:rPr>
        <w:t xml:space="preserve"> </w:t>
      </w:r>
      <w:r w:rsidR="0057588D">
        <w:rPr>
          <w:rFonts w:ascii="Calibri" w:eastAsiaTheme="minorEastAsia" w:hAnsi="Calibri" w:cs="Calibri"/>
          <w:bCs/>
          <w:noProof/>
          <w:sz w:val="24"/>
          <w:szCs w:val="24"/>
          <w:lang w:val="en-US" w:eastAsia="ja-JP"/>
        </w:rPr>
        <w:t>17</w:t>
      </w:r>
      <w:r w:rsidRPr="00DA1122">
        <w:rPr>
          <w:rFonts w:ascii="Calibri" w:eastAsiaTheme="minorEastAsia" w:hAnsi="Calibri" w:cs="Calibri"/>
          <w:bCs/>
          <w:noProof/>
          <w:sz w:val="24"/>
          <w:szCs w:val="24"/>
          <w:lang w:val="en-US" w:eastAsia="ja-JP"/>
        </w:rPr>
        <w:t>th –</w:t>
      </w:r>
      <w:r w:rsidR="001F3BB1">
        <w:rPr>
          <w:rFonts w:ascii="Calibri" w:eastAsiaTheme="minorEastAsia" w:hAnsi="Calibri" w:cs="Calibri"/>
          <w:bCs/>
          <w:noProof/>
          <w:sz w:val="24"/>
          <w:szCs w:val="24"/>
          <w:lang w:val="en-US" w:eastAsia="ja-JP"/>
        </w:rPr>
        <w:t xml:space="preserve"> </w:t>
      </w:r>
      <w:r w:rsidR="0057588D">
        <w:rPr>
          <w:rFonts w:ascii="Calibri" w:eastAsiaTheme="minorEastAsia" w:hAnsi="Calibri" w:cs="Calibri"/>
          <w:bCs/>
          <w:noProof/>
          <w:sz w:val="24"/>
          <w:szCs w:val="24"/>
          <w:lang w:val="en-US" w:eastAsia="ja-JP"/>
        </w:rPr>
        <w:t>May</w:t>
      </w:r>
      <w:r w:rsidRPr="00DA1122">
        <w:rPr>
          <w:rFonts w:ascii="Calibri" w:eastAsiaTheme="minorEastAsia" w:hAnsi="Calibri" w:cs="Calibri"/>
          <w:bCs/>
          <w:noProof/>
          <w:sz w:val="24"/>
          <w:szCs w:val="24"/>
          <w:lang w:val="en-US" w:eastAsia="ja-JP"/>
        </w:rPr>
        <w:t xml:space="preserve"> </w:t>
      </w:r>
      <w:r w:rsidR="0057588D">
        <w:rPr>
          <w:rFonts w:ascii="Calibri" w:eastAsiaTheme="minorEastAsia" w:hAnsi="Calibri" w:cs="Calibri"/>
          <w:bCs/>
          <w:noProof/>
          <w:sz w:val="24"/>
          <w:szCs w:val="24"/>
          <w:lang w:val="en-US" w:eastAsia="ja-JP"/>
        </w:rPr>
        <w:t>28th 2021</w:t>
      </w:r>
    </w:p>
    <w:p w14:paraId="269A8AA4" w14:textId="77777777" w:rsidR="00A434AF" w:rsidRPr="003D669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14:paraId="11C586F4" w14:textId="303B5A50" w:rsidR="00A434AF" w:rsidRPr="007E124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7039FB" w:rsidRPr="007039FB">
        <w:rPr>
          <w:rFonts w:ascii="Calibri" w:hAnsi="Calibri" w:cs="Calibri"/>
          <w:sz w:val="24"/>
          <w:szCs w:val="24"/>
          <w:lang w:val="en-US"/>
        </w:rPr>
        <w:t>Consideration</w:t>
      </w:r>
      <w:r w:rsidR="00BE69EE">
        <w:rPr>
          <w:rFonts w:ascii="Calibri" w:hAnsi="Calibri" w:cs="Calibri"/>
          <w:sz w:val="24"/>
          <w:szCs w:val="24"/>
          <w:lang w:val="en-US"/>
        </w:rPr>
        <w:t>s</w:t>
      </w:r>
      <w:r w:rsidR="007039FB" w:rsidRPr="007039FB">
        <w:rPr>
          <w:rFonts w:ascii="Calibri" w:hAnsi="Calibri" w:cs="Calibri"/>
          <w:sz w:val="24"/>
          <w:szCs w:val="24"/>
          <w:lang w:val="en-US"/>
        </w:rPr>
        <w:t xml:space="preserve"> on </w:t>
      </w:r>
      <w:r w:rsidR="0057588D" w:rsidRPr="00E87620">
        <w:rPr>
          <w:rFonts w:ascii="Calibri" w:hAnsi="Calibri" w:cs="Calibri"/>
          <w:sz w:val="24"/>
          <w:szCs w:val="24"/>
          <w:lang w:val="en-US"/>
        </w:rPr>
        <w:t>intra-CU CHO</w:t>
      </w:r>
      <w:r w:rsidR="007039FB" w:rsidRPr="007039FB" w:rsidDel="007039FB">
        <w:rPr>
          <w:rFonts w:ascii="Calibri" w:hAnsi="Calibri" w:cs="Calibri"/>
          <w:sz w:val="24"/>
          <w:szCs w:val="24"/>
          <w:highlight w:val="yellow"/>
          <w:lang w:val="en-US"/>
        </w:rPr>
        <w:t xml:space="preserve"> </w:t>
      </w:r>
    </w:p>
    <w:p w14:paraId="61D6FC28" w14:textId="77777777" w:rsidR="00A434AF" w:rsidRPr="003D669F" w:rsidRDefault="00A434AF" w:rsidP="00675F1A">
      <w:pPr>
        <w:pStyle w:val="TdocHeader2"/>
        <w:tabs>
          <w:tab w:val="clear" w:pos="1701"/>
          <w:tab w:val="clear" w:pos="9072"/>
          <w:tab w:val="clear" w:pos="10206"/>
          <w:tab w:val="left" w:pos="1577"/>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14:paraId="0F94693E" w14:textId="4CFFB232" w:rsidR="00A434AF" w:rsidRPr="00B44F2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A84DBD" w:rsidRPr="00E87620">
        <w:rPr>
          <w:rFonts w:ascii="Calibri" w:hAnsi="Calibri" w:cs="Calibri"/>
          <w:sz w:val="24"/>
          <w:szCs w:val="24"/>
          <w:lang w:val="en-US"/>
        </w:rPr>
        <w:t>13.2.1</w:t>
      </w:r>
      <w:r w:rsidR="00082055" w:rsidRPr="00E87620">
        <w:rPr>
          <w:rFonts w:ascii="Calibri" w:hAnsi="Calibri" w:cs="Calibri"/>
          <w:sz w:val="24"/>
          <w:szCs w:val="24"/>
          <w:lang w:val="en-US"/>
        </w:rPr>
        <w:t>.2</w:t>
      </w:r>
      <w:r w:rsidR="007039FB" w:rsidRPr="00E87620">
        <w:rPr>
          <w:rFonts w:ascii="Calibri" w:hAnsi="Calibri" w:cs="Calibri"/>
          <w:sz w:val="24"/>
          <w:szCs w:val="24"/>
          <w:lang w:val="en-US"/>
        </w:rPr>
        <w:t xml:space="preserve"> Inter-Donor IAB Node Migration</w:t>
      </w:r>
    </w:p>
    <w:p w14:paraId="4B9639C7" w14:textId="77777777" w:rsidR="00A434AF" w:rsidRPr="003D669F" w:rsidRDefault="00A434AF"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5D33615B" w14:textId="77777777" w:rsidR="00A434AF" w:rsidRPr="003D669F" w:rsidRDefault="00495736" w:rsidP="00675F1A">
      <w:pPr>
        <w:pStyle w:val="TdocHeader2"/>
        <w:tabs>
          <w:tab w:val="clear" w:pos="1701"/>
          <w:tab w:val="left" w:pos="1577"/>
        </w:tabs>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1F3BB1">
        <w:rPr>
          <w:rFonts w:ascii="Calibri" w:eastAsiaTheme="minorEastAsia" w:hAnsi="Calibri" w:cs="Calibri"/>
          <w:sz w:val="24"/>
          <w:szCs w:val="24"/>
          <w:lang w:val="en-US" w:eastAsia="ja-JP"/>
        </w:rPr>
        <w:t>7</w:t>
      </w:r>
    </w:p>
    <w:bookmarkEnd w:id="1"/>
    <w:bookmarkEnd w:id="2"/>
    <w:p w14:paraId="172AC6A3" w14:textId="77777777" w:rsidR="006A1A84" w:rsidRPr="00201FC5" w:rsidRDefault="00B4399F" w:rsidP="000E00F6">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201A0967" w14:textId="1F607199" w:rsidR="0057588D" w:rsidRDefault="0057588D" w:rsidP="0057588D">
      <w:pPr>
        <w:spacing w:after="240" w:line="300" w:lineRule="exact"/>
        <w:rPr>
          <w:rFonts w:ascii="Calibri" w:hAnsi="Calibri" w:cs="Calibri"/>
          <w:szCs w:val="24"/>
          <w:lang w:val="en-GB" w:eastAsia="ja-JP"/>
        </w:rPr>
      </w:pPr>
      <w:r>
        <w:rPr>
          <w:rFonts w:ascii="Calibri" w:hAnsi="Calibri" w:cs="Calibri"/>
          <w:szCs w:val="24"/>
          <w:lang w:val="en-GB" w:eastAsia="ja-JP"/>
        </w:rPr>
        <w:t>In the last RAN3 meeting</w:t>
      </w:r>
      <w:r>
        <w:rPr>
          <w:rFonts w:ascii="Calibri" w:hAnsi="Calibri" w:cs="Calibri" w:hint="eastAsia"/>
          <w:szCs w:val="24"/>
          <w:lang w:val="en-GB" w:eastAsia="ja-JP"/>
        </w:rPr>
        <w:t>,</w:t>
      </w:r>
      <w:r>
        <w:rPr>
          <w:rFonts w:ascii="Calibri" w:hAnsi="Calibri" w:cs="Calibri"/>
          <w:szCs w:val="24"/>
          <w:lang w:val="en-GB" w:eastAsia="ja-JP"/>
        </w:rPr>
        <w:t xml:space="preserve"> regarding CHO in IAB, the following agreements &amp; warnings were made:</w:t>
      </w:r>
    </w:p>
    <w:p w14:paraId="21E7650C" w14:textId="77777777" w:rsidR="0057588D" w:rsidRPr="00E1521C" w:rsidRDefault="0057588D" w:rsidP="0057588D">
      <w:pPr>
        <w:widowControl w:val="0"/>
        <w:spacing w:after="0"/>
        <w:ind w:left="144" w:hanging="144"/>
        <w:rPr>
          <w:rFonts w:ascii="Calibri" w:hAnsi="Calibri" w:cs="Calibri"/>
          <w:b/>
          <w:bCs/>
          <w:color w:val="00B050"/>
        </w:rPr>
      </w:pPr>
      <w:r w:rsidRPr="00E1521C">
        <w:rPr>
          <w:rFonts w:ascii="Calibri" w:hAnsi="Calibri" w:cs="Calibri" w:hint="eastAsia"/>
          <w:lang w:val="en-GB" w:eastAsia="ja-JP"/>
        </w:rPr>
        <w:t>⇒</w:t>
      </w:r>
      <w:r w:rsidRPr="00E1521C">
        <w:rPr>
          <w:rFonts w:ascii="Calibri" w:hAnsi="Calibri" w:cs="Calibri"/>
          <w:b/>
          <w:bCs/>
          <w:color w:val="00B050"/>
        </w:rPr>
        <w:t>Rel-16 CHO is supported for INTRA-donor migration of IAB-MT</w:t>
      </w:r>
    </w:p>
    <w:p w14:paraId="451C52C7" w14:textId="77777777" w:rsidR="0057588D" w:rsidRPr="00E1521C" w:rsidRDefault="0057588D" w:rsidP="0057588D">
      <w:pPr>
        <w:widowControl w:val="0"/>
        <w:spacing w:after="0"/>
        <w:ind w:left="142" w:hanging="142"/>
        <w:rPr>
          <w:rFonts w:ascii="Calibri" w:hAnsi="Calibri" w:cs="Calibri"/>
          <w:b/>
          <w:bCs/>
          <w:color w:val="000000"/>
        </w:rPr>
      </w:pPr>
      <w:r w:rsidRPr="00E1521C">
        <w:rPr>
          <w:rFonts w:ascii="Calibri" w:hAnsi="Calibri" w:cs="Calibri" w:hint="eastAsia"/>
          <w:lang w:val="en-GB" w:eastAsia="ja-JP"/>
        </w:rPr>
        <w:t>⇒</w:t>
      </w:r>
      <w:r w:rsidRPr="00E1521C">
        <w:rPr>
          <w:rFonts w:ascii="Calibri" w:hAnsi="Calibri" w:cs="Calibri"/>
          <w:b/>
          <w:bCs/>
          <w:color w:val="000000"/>
        </w:rPr>
        <w:t>Early context fetching in RLF recovery is down-prioritized</w:t>
      </w:r>
    </w:p>
    <w:p w14:paraId="6AA078D4" w14:textId="77777777" w:rsidR="0057588D" w:rsidRPr="00E1521C" w:rsidRDefault="0057588D" w:rsidP="0057588D">
      <w:pPr>
        <w:widowControl w:val="0"/>
        <w:spacing w:after="0"/>
        <w:ind w:left="142" w:hanging="142"/>
        <w:rPr>
          <w:rFonts w:ascii="Calibri" w:hAnsi="Calibri" w:cs="Calibri"/>
          <w:b/>
          <w:color w:val="0000FF"/>
        </w:rPr>
      </w:pPr>
      <w:r w:rsidRPr="00E1521C">
        <w:rPr>
          <w:rFonts w:ascii="Calibri" w:hAnsi="Calibri" w:cs="Calibri" w:hint="eastAsia"/>
          <w:lang w:val="en-GB" w:eastAsia="ja-JP"/>
        </w:rPr>
        <w:t>⇒</w:t>
      </w:r>
      <w:r w:rsidRPr="00E1521C">
        <w:rPr>
          <w:rFonts w:ascii="Calibri" w:hAnsi="Calibri" w:cs="Calibri"/>
          <w:b/>
          <w:color w:val="0000FF"/>
        </w:rPr>
        <w:t>Issue of CHO for RLF need to be addressed; To be continued...</w:t>
      </w:r>
    </w:p>
    <w:p w14:paraId="2948435F" w14:textId="77777777" w:rsidR="0057588D" w:rsidRPr="00E1521C" w:rsidRDefault="0057588D" w:rsidP="0057588D">
      <w:pPr>
        <w:widowControl w:val="0"/>
        <w:spacing w:after="0"/>
        <w:ind w:left="144" w:hanging="144"/>
        <w:rPr>
          <w:rFonts w:ascii="Calibri" w:hAnsi="Calibri" w:cs="Calibri"/>
          <w:lang w:eastAsia="ja-JP"/>
        </w:rPr>
      </w:pPr>
      <w:r w:rsidRPr="00E1521C">
        <w:rPr>
          <w:rFonts w:ascii="Calibri" w:hAnsi="Calibri" w:cs="Calibri" w:hint="eastAsia"/>
          <w:lang w:val="en-GB" w:eastAsia="ja-JP"/>
        </w:rPr>
        <w:t>⇒</w:t>
      </w:r>
      <w:r w:rsidRPr="00E1521C">
        <w:rPr>
          <w:rFonts w:ascii="Calibri" w:hAnsi="Calibri" w:cs="Calibri"/>
          <w:b/>
          <w:bCs/>
          <w:color w:val="00B050"/>
        </w:rPr>
        <w:t>FFS whether the descendant nodes and UEs receive RRC reconfiguration messages before migrating IAB node connects to target path</w:t>
      </w:r>
    </w:p>
    <w:p w14:paraId="544D4BA2" w14:textId="77777777" w:rsidR="0057588D" w:rsidRPr="00460F1A" w:rsidRDefault="0057588D" w:rsidP="0057588D">
      <w:pPr>
        <w:widowControl w:val="0"/>
        <w:spacing w:after="0"/>
        <w:rPr>
          <w:rFonts w:ascii="Calibri" w:hAnsi="Calibri" w:cs="Calibri"/>
          <w:bCs/>
          <w:color w:val="00B050"/>
          <w:sz w:val="18"/>
          <w:szCs w:val="24"/>
        </w:rPr>
      </w:pPr>
    </w:p>
    <w:p w14:paraId="345B6191" w14:textId="052C4710" w:rsidR="0057588D" w:rsidRPr="009B5897" w:rsidRDefault="0057588D" w:rsidP="0057588D">
      <w:pPr>
        <w:spacing w:after="240" w:line="300" w:lineRule="exact"/>
        <w:rPr>
          <w:rFonts w:ascii="Calibri" w:hAnsi="Calibri" w:cs="Calibri"/>
          <w:szCs w:val="24"/>
          <w:lang w:val="en-GB" w:eastAsia="ja-JP"/>
        </w:rPr>
      </w:pPr>
      <w:r>
        <w:rPr>
          <w:rFonts w:ascii="Calibri" w:hAnsi="Calibri" w:cs="Calibri" w:hint="eastAsia"/>
          <w:szCs w:val="24"/>
          <w:lang w:val="en-GB" w:eastAsia="ja-JP"/>
        </w:rPr>
        <w:t>I</w:t>
      </w:r>
      <w:r>
        <w:rPr>
          <w:rFonts w:ascii="Calibri" w:hAnsi="Calibri" w:cs="Calibri"/>
          <w:szCs w:val="24"/>
          <w:lang w:val="en-GB" w:eastAsia="ja-JP"/>
        </w:rPr>
        <w:t xml:space="preserve">n this contribution, we discuss </w:t>
      </w:r>
      <w:r w:rsidRPr="00E87620">
        <w:rPr>
          <w:rFonts w:ascii="Calibri" w:hAnsi="Calibri" w:cs="Calibri"/>
          <w:szCs w:val="24"/>
          <w:lang w:val="en-GB" w:eastAsia="ja-JP"/>
        </w:rPr>
        <w:t>potential enhancements</w:t>
      </w:r>
      <w:r>
        <w:rPr>
          <w:rFonts w:ascii="Calibri" w:hAnsi="Calibri" w:cs="Calibri"/>
          <w:szCs w:val="24"/>
          <w:lang w:val="en-GB" w:eastAsia="ja-JP"/>
        </w:rPr>
        <w:t xml:space="preserve"> to support intra-donor-CU CHO in IAB and </w:t>
      </w:r>
      <w:r w:rsidR="00C97A3F">
        <w:rPr>
          <w:rFonts w:ascii="Calibri" w:hAnsi="Calibri" w:cs="Calibri"/>
          <w:szCs w:val="24"/>
          <w:lang w:val="en-GB" w:eastAsia="ja-JP"/>
        </w:rPr>
        <w:t>detail</w:t>
      </w:r>
      <w:r>
        <w:rPr>
          <w:rFonts w:ascii="Calibri" w:hAnsi="Calibri" w:cs="Calibri"/>
          <w:szCs w:val="24"/>
          <w:lang w:val="en-GB" w:eastAsia="ja-JP"/>
        </w:rPr>
        <w:t xml:space="preserve"> our proposals.</w:t>
      </w:r>
    </w:p>
    <w:p w14:paraId="7CFBA1DE" w14:textId="77777777" w:rsidR="007258E6" w:rsidRPr="0084100B" w:rsidRDefault="008F6AA2" w:rsidP="000E00F6">
      <w:pPr>
        <w:pStyle w:val="1"/>
        <w:textAlignment w:val="auto"/>
        <w:rPr>
          <w:rFonts w:asciiTheme="minorHAnsi" w:eastAsiaTheme="minorEastAsia" w:hAnsiTheme="minorHAnsi" w:cstheme="minorHAnsi"/>
          <w:lang w:val="en-US" w:eastAsia="ja-JP"/>
        </w:rPr>
      </w:pPr>
      <w:r w:rsidRPr="0084100B">
        <w:rPr>
          <w:rFonts w:asciiTheme="minorHAnsi" w:eastAsiaTheme="minorEastAsia" w:hAnsiTheme="minorHAnsi" w:cstheme="minorHAnsi"/>
          <w:lang w:val="en-US" w:eastAsia="ja-JP"/>
        </w:rPr>
        <w:t>Discussion</w:t>
      </w:r>
    </w:p>
    <w:p w14:paraId="3067D3BB" w14:textId="4778196F" w:rsidR="00936425" w:rsidRDefault="00936425" w:rsidP="00A50FD0">
      <w:pPr>
        <w:spacing w:after="240" w:line="300" w:lineRule="exact"/>
        <w:rPr>
          <w:rFonts w:ascii="Calibri" w:hAnsi="Calibri" w:cs="Calibri"/>
          <w:szCs w:val="24"/>
          <w:lang w:val="en-GB" w:eastAsia="ja-JP"/>
        </w:rPr>
      </w:pPr>
      <w:r>
        <w:rPr>
          <w:rFonts w:ascii="Calibri" w:hAnsi="Calibri" w:cs="Calibri"/>
          <w:szCs w:val="24"/>
          <w:lang w:val="en-GB" w:eastAsia="ja-JP"/>
        </w:rPr>
        <w:t xml:space="preserve">As mentioned above, RAN3 agreed to support </w:t>
      </w:r>
      <w:r w:rsidR="00CA0ECD">
        <w:rPr>
          <w:rFonts w:ascii="Calibri" w:hAnsi="Calibri" w:cs="Calibri"/>
          <w:szCs w:val="24"/>
          <w:lang w:val="en-GB" w:eastAsia="ja-JP"/>
        </w:rPr>
        <w:t xml:space="preserve">Rel-16 </w:t>
      </w:r>
      <w:r>
        <w:rPr>
          <w:rFonts w:ascii="Calibri" w:hAnsi="Calibri" w:cs="Calibri"/>
          <w:szCs w:val="24"/>
          <w:lang w:val="en-GB" w:eastAsia="ja-JP"/>
        </w:rPr>
        <w:t xml:space="preserve">CHO for Intra-donor migration for IAB-MT. Intra-donor-CU migration could be divided into intra-donor-DU migration and inter-donor-DU migration. In RAN2-113-bis-e, it has been agreed to support CHO for both scenarios. </w:t>
      </w:r>
    </w:p>
    <w:p w14:paraId="5BB1D380" w14:textId="4F393B1C" w:rsidR="00406B57" w:rsidRDefault="00CA0ECD" w:rsidP="00CA0ECD">
      <w:pPr>
        <w:spacing w:after="240" w:line="300" w:lineRule="exact"/>
        <w:rPr>
          <w:rFonts w:ascii="Calibri" w:hAnsi="Calibri" w:cs="Calibri"/>
          <w:szCs w:val="24"/>
          <w:lang w:val="en-GB" w:eastAsia="ja-JP"/>
        </w:rPr>
      </w:pPr>
      <w:r>
        <w:rPr>
          <w:rFonts w:ascii="Calibri" w:hAnsi="Calibri" w:cs="Calibri"/>
          <w:szCs w:val="24"/>
          <w:lang w:val="en-GB" w:eastAsia="ja-JP"/>
        </w:rPr>
        <w:t>Figure 1 shows a scenario with multiple IAB nodes under one donor CU. For each IAB node, since IAB-donor-CU does not know when and which IAB node decides to perform migration due to load balancing, and when and w</w:t>
      </w:r>
      <w:r w:rsidR="00406B57">
        <w:rPr>
          <w:rFonts w:ascii="Calibri" w:hAnsi="Calibri" w:cs="Calibri"/>
          <w:szCs w:val="24"/>
          <w:lang w:val="en-GB" w:eastAsia="ja-JP"/>
        </w:rPr>
        <w:t xml:space="preserve">hich node may suffer RLF due to channel deterioration. We consider that every IAB node should be configured with CHO configuration. The CHO configuration of the descendant IAB-nodes of </w:t>
      </w:r>
      <w:r w:rsidR="00C97A3F">
        <w:rPr>
          <w:rFonts w:ascii="Calibri" w:hAnsi="Calibri" w:cs="Calibri"/>
          <w:szCs w:val="24"/>
          <w:lang w:val="en-GB" w:eastAsia="ja-JP"/>
        </w:rPr>
        <w:t xml:space="preserve">the </w:t>
      </w:r>
      <w:r w:rsidR="00406B57">
        <w:rPr>
          <w:rFonts w:ascii="Calibri" w:hAnsi="Calibri" w:cs="Calibri"/>
          <w:szCs w:val="24"/>
          <w:lang w:val="en-GB" w:eastAsia="ja-JP"/>
        </w:rPr>
        <w:t xml:space="preserve">migration IAB node might have the same candidate target IAB-donor-DU, or </w:t>
      </w:r>
      <w:r w:rsidR="00C97A3F">
        <w:rPr>
          <w:rFonts w:ascii="Calibri" w:hAnsi="Calibri" w:cs="Calibri"/>
          <w:szCs w:val="24"/>
          <w:lang w:val="en-GB" w:eastAsia="ja-JP"/>
        </w:rPr>
        <w:t>an</w:t>
      </w:r>
      <w:r w:rsidR="00406B57">
        <w:rPr>
          <w:rFonts w:ascii="Calibri" w:hAnsi="Calibri" w:cs="Calibri"/>
          <w:szCs w:val="24"/>
          <w:lang w:val="en-GB" w:eastAsia="ja-JP"/>
        </w:rPr>
        <w:t xml:space="preserve">other candidate IAB-DU which is different from the migration IAB node. </w:t>
      </w:r>
    </w:p>
    <w:p w14:paraId="3B4D4D7E" w14:textId="0611C94C" w:rsidR="00406B57" w:rsidRPr="00406B57" w:rsidRDefault="00406B57" w:rsidP="00406B57">
      <w:pPr>
        <w:spacing w:after="240" w:line="240" w:lineRule="auto"/>
        <w:rPr>
          <w:rFonts w:ascii="Segoe UI" w:eastAsia="ＭＳ Ｐゴシック" w:hAnsi="Segoe UI" w:cs="Segoe UI"/>
          <w:sz w:val="21"/>
          <w:szCs w:val="21"/>
          <w:lang w:eastAsia="ja-JP"/>
        </w:rPr>
      </w:pPr>
      <w:r>
        <w:rPr>
          <w:rFonts w:ascii="Calibri" w:hAnsi="Calibri" w:cs="Calibri"/>
          <w:b/>
          <w:szCs w:val="24"/>
          <w:lang w:val="en-GB" w:eastAsia="ja-JP"/>
        </w:rPr>
        <w:t>Observation</w:t>
      </w:r>
      <w:r w:rsidRPr="0002564B">
        <w:rPr>
          <w:rFonts w:ascii="Segoe UI" w:eastAsia="ＭＳ Ｐゴシック" w:hAnsi="Segoe UI" w:cs="Segoe UI"/>
          <w:b/>
          <w:sz w:val="21"/>
          <w:szCs w:val="21"/>
          <w:lang w:eastAsia="ja-JP"/>
        </w:rPr>
        <w:t xml:space="preserve"> 1</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CHO need to be configured in every IAB-node, and CHO configuration of the descent IAB-nodes might be different from the migration IAB-node.</w:t>
      </w:r>
    </w:p>
    <w:p w14:paraId="4C731E45" w14:textId="0C3F0F20" w:rsidR="007B22E2" w:rsidRDefault="007B22E2" w:rsidP="00A50FD0">
      <w:pPr>
        <w:spacing w:after="240" w:line="300" w:lineRule="exact"/>
        <w:rPr>
          <w:rFonts w:ascii="Calibri" w:hAnsi="Calibri" w:cs="Calibri"/>
          <w:szCs w:val="24"/>
          <w:lang w:val="en-GB" w:eastAsia="ja-JP"/>
        </w:rPr>
      </w:pPr>
      <w:r>
        <w:rPr>
          <w:rFonts w:ascii="Calibri" w:hAnsi="Calibri" w:cs="Calibri"/>
          <w:szCs w:val="24"/>
          <w:lang w:val="en-GB" w:eastAsia="ja-JP"/>
        </w:rPr>
        <w:t xml:space="preserve">Therefore, there is no rule to force the descendant IAB-node to migrate with the migration IAB-node. The descendant IAB-node might have better candidates than the one provided by migration IAB-node. Hence, to have </w:t>
      </w:r>
      <w:r w:rsidR="00C97A3F">
        <w:rPr>
          <w:rFonts w:ascii="Calibri" w:hAnsi="Calibri" w:cs="Calibri"/>
          <w:szCs w:val="24"/>
          <w:lang w:val="en-GB" w:eastAsia="ja-JP"/>
        </w:rPr>
        <w:t xml:space="preserve">an </w:t>
      </w:r>
      <w:r>
        <w:rPr>
          <w:rFonts w:ascii="Calibri" w:hAnsi="Calibri" w:cs="Calibri"/>
          <w:szCs w:val="24"/>
          <w:lang w:val="en-GB" w:eastAsia="ja-JP"/>
        </w:rPr>
        <w:t xml:space="preserve">optimized topology, migration IAB-node should send a CHO notification to the descendant IAB-node. So that the descendant IAB-node could decide whether it will </w:t>
      </w:r>
      <w:r w:rsidR="00C97A3F">
        <w:rPr>
          <w:rFonts w:ascii="Calibri" w:hAnsi="Calibri" w:cs="Calibri"/>
          <w:szCs w:val="24"/>
          <w:lang w:val="en-GB" w:eastAsia="ja-JP"/>
        </w:rPr>
        <w:t>migrate</w:t>
      </w:r>
      <w:r>
        <w:rPr>
          <w:rFonts w:ascii="Calibri" w:hAnsi="Calibri" w:cs="Calibri"/>
          <w:szCs w:val="24"/>
          <w:lang w:val="en-GB" w:eastAsia="ja-JP"/>
        </w:rPr>
        <w:t xml:space="preserve"> with the migration IAB-node or not.</w:t>
      </w:r>
    </w:p>
    <w:p w14:paraId="77E295E5" w14:textId="77777777" w:rsidR="007B22E2" w:rsidRDefault="007B22E2" w:rsidP="007B22E2">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1</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 xml:space="preserve">Migration IAB-node sends a CHO notification to the descendant IAB-node. </w:t>
      </w:r>
    </w:p>
    <w:p w14:paraId="1E9AD0B4" w14:textId="29D4BD06" w:rsidR="007B22E2" w:rsidRPr="00406B57" w:rsidRDefault="007B22E2" w:rsidP="007B22E2">
      <w:pPr>
        <w:spacing w:after="240" w:line="240" w:lineRule="auto"/>
        <w:rPr>
          <w:rFonts w:ascii="Segoe UI" w:eastAsia="ＭＳ Ｐゴシック" w:hAnsi="Segoe UI" w:cs="Segoe UI"/>
          <w:sz w:val="21"/>
          <w:szCs w:val="21"/>
          <w:lang w:eastAsia="ja-JP"/>
        </w:rPr>
      </w:pPr>
      <w:r>
        <w:rPr>
          <w:rFonts w:ascii="Segoe UI" w:eastAsia="ＭＳ Ｐゴシック" w:hAnsi="Segoe UI" w:cs="Segoe UI"/>
          <w:b/>
          <w:sz w:val="21"/>
          <w:szCs w:val="21"/>
          <w:lang w:eastAsia="ja-JP"/>
        </w:rPr>
        <w:lastRenderedPageBreak/>
        <w:t>Proposal 2: Descendant IAB-node decides whether to migration with migration IAB-node or not.</w:t>
      </w:r>
    </w:p>
    <w:p w14:paraId="463BE6EA" w14:textId="0B69D876" w:rsidR="00D92CA1" w:rsidRDefault="00AE1BCA" w:rsidP="00A50FD0">
      <w:pPr>
        <w:spacing w:after="240" w:line="300" w:lineRule="exact"/>
        <w:rPr>
          <w:rFonts w:ascii="Calibri" w:hAnsi="Calibri" w:cs="Calibri"/>
          <w:szCs w:val="24"/>
          <w:lang w:eastAsia="ja-JP"/>
        </w:rPr>
      </w:pPr>
      <w:r>
        <w:rPr>
          <w:rFonts w:ascii="Calibri" w:hAnsi="Calibri" w:cs="Calibri"/>
          <w:szCs w:val="24"/>
          <w:lang w:eastAsia="ja-JP"/>
        </w:rPr>
        <w:t>R</w:t>
      </w:r>
      <w:r>
        <w:rPr>
          <w:rFonts w:ascii="Calibri" w:hAnsi="Calibri" w:cs="Calibri" w:hint="eastAsia"/>
          <w:szCs w:val="24"/>
          <w:lang w:eastAsia="ja-JP"/>
        </w:rPr>
        <w:t xml:space="preserve">egarding </w:t>
      </w:r>
      <w:r>
        <w:rPr>
          <w:rFonts w:ascii="Calibri" w:hAnsi="Calibri" w:cs="Calibri"/>
          <w:szCs w:val="24"/>
          <w:lang w:eastAsia="ja-JP"/>
        </w:rPr>
        <w:t xml:space="preserve">the </w:t>
      </w:r>
      <w:r w:rsidR="007E1573">
        <w:rPr>
          <w:rFonts w:ascii="Calibri" w:hAnsi="Calibri" w:cs="Calibri"/>
          <w:szCs w:val="24"/>
          <w:lang w:eastAsia="ja-JP"/>
        </w:rPr>
        <w:t>CHO execution of the descendant IAB nodes</w:t>
      </w:r>
      <w:r>
        <w:rPr>
          <w:rFonts w:ascii="Calibri" w:hAnsi="Calibri" w:cs="Calibri"/>
          <w:szCs w:val="24"/>
          <w:lang w:eastAsia="ja-JP"/>
        </w:rPr>
        <w:t xml:space="preserve">, </w:t>
      </w:r>
      <w:r w:rsidR="00D92CA1">
        <w:rPr>
          <w:rFonts w:ascii="Calibri" w:hAnsi="Calibri" w:cs="Calibri"/>
          <w:szCs w:val="24"/>
          <w:lang w:eastAsia="ja-JP"/>
        </w:rPr>
        <w:t xml:space="preserve">based on the </w:t>
      </w:r>
      <w:r w:rsidR="004A3922">
        <w:rPr>
          <w:rFonts w:ascii="Calibri" w:hAnsi="Calibri" w:cs="Calibri"/>
          <w:szCs w:val="24"/>
          <w:lang w:eastAsia="ja-JP"/>
        </w:rPr>
        <w:t xml:space="preserve">analysis </w:t>
      </w:r>
      <w:r w:rsidR="00D92CA1">
        <w:rPr>
          <w:rFonts w:ascii="Calibri" w:hAnsi="Calibri" w:cs="Calibri"/>
          <w:szCs w:val="24"/>
          <w:lang w:eastAsia="ja-JP"/>
        </w:rPr>
        <w:t xml:space="preserve">of the next two cases, </w:t>
      </w:r>
      <w:r w:rsidRPr="00D64172">
        <w:rPr>
          <w:rFonts w:ascii="Calibri" w:hAnsi="Calibri" w:cs="Calibri"/>
          <w:szCs w:val="24"/>
          <w:lang w:eastAsia="ja-JP"/>
        </w:rPr>
        <w:t>we</w:t>
      </w:r>
      <w:r w:rsidR="007E1573">
        <w:rPr>
          <w:rFonts w:ascii="Calibri" w:hAnsi="Calibri" w:cs="Calibri"/>
          <w:szCs w:val="24"/>
          <w:lang w:eastAsia="ja-JP"/>
        </w:rPr>
        <w:t xml:space="preserve"> consider a CHO notification from the migration IAB node</w:t>
      </w:r>
      <w:r w:rsidRPr="00D64172">
        <w:rPr>
          <w:rFonts w:ascii="Calibri" w:hAnsi="Calibri" w:cs="Calibri"/>
          <w:szCs w:val="24"/>
          <w:lang w:eastAsia="ja-JP"/>
        </w:rPr>
        <w:t xml:space="preserve"> s</w:t>
      </w:r>
      <w:r w:rsidR="00A362DA" w:rsidRPr="00D64172">
        <w:rPr>
          <w:rFonts w:ascii="Calibri" w:hAnsi="Calibri" w:cs="Calibri"/>
          <w:szCs w:val="24"/>
          <w:lang w:eastAsia="ja-JP"/>
        </w:rPr>
        <w:t xml:space="preserve">hould be forwarded to the descendant IAB node before </w:t>
      </w:r>
      <w:r w:rsidR="007E1573">
        <w:rPr>
          <w:rFonts w:ascii="Calibri" w:hAnsi="Calibri" w:cs="Calibri"/>
          <w:szCs w:val="24"/>
          <w:lang w:eastAsia="ja-JP"/>
        </w:rPr>
        <w:t xml:space="preserve">the </w:t>
      </w:r>
      <w:r w:rsidR="00A362DA" w:rsidRPr="00D64172">
        <w:rPr>
          <w:rFonts w:ascii="Calibri" w:hAnsi="Calibri" w:cs="Calibri"/>
          <w:szCs w:val="24"/>
          <w:lang w:eastAsia="ja-JP"/>
        </w:rPr>
        <w:t>migration IAB node executes CHO</w:t>
      </w:r>
      <w:r w:rsidR="00A362DA">
        <w:rPr>
          <w:rFonts w:ascii="Calibri" w:hAnsi="Calibri" w:cs="Calibri"/>
          <w:szCs w:val="24"/>
          <w:lang w:eastAsia="ja-JP"/>
        </w:rPr>
        <w:t xml:space="preserve">. </w:t>
      </w:r>
    </w:p>
    <w:p w14:paraId="7BE078AC" w14:textId="242F9F42" w:rsidR="00D92CA1" w:rsidRDefault="00D92CA1" w:rsidP="00A50FD0">
      <w:pPr>
        <w:spacing w:after="240" w:line="300" w:lineRule="exact"/>
        <w:rPr>
          <w:rFonts w:ascii="Calibri" w:hAnsi="Calibri" w:cs="Calibri"/>
          <w:szCs w:val="24"/>
          <w:lang w:eastAsia="ja-JP"/>
        </w:rPr>
      </w:pPr>
      <w:r>
        <w:rPr>
          <w:rFonts w:ascii="Calibri" w:hAnsi="Calibri" w:cs="Calibri"/>
          <w:szCs w:val="24"/>
          <w:lang w:eastAsia="ja-JP"/>
        </w:rPr>
        <w:t>Case 1:</w:t>
      </w:r>
      <w:r w:rsidR="00A362DA">
        <w:rPr>
          <w:rFonts w:ascii="Calibri" w:hAnsi="Calibri" w:cs="Calibri"/>
          <w:szCs w:val="24"/>
          <w:lang w:eastAsia="ja-JP"/>
        </w:rPr>
        <w:t xml:space="preserve"> </w:t>
      </w:r>
      <w:r w:rsidR="0071388E">
        <w:rPr>
          <w:rFonts w:ascii="Calibri" w:hAnsi="Calibri" w:cs="Calibri"/>
          <w:szCs w:val="24"/>
          <w:lang w:eastAsia="ja-JP"/>
        </w:rPr>
        <w:t xml:space="preserve">intra-DU CHO. In this case, </w:t>
      </w:r>
      <w:r w:rsidR="00A362DA">
        <w:rPr>
          <w:rFonts w:ascii="Calibri" w:hAnsi="Calibri" w:cs="Calibri"/>
          <w:szCs w:val="24"/>
          <w:lang w:eastAsia="ja-JP"/>
        </w:rPr>
        <w:t xml:space="preserve">the frequency/PCI of </w:t>
      </w:r>
      <w:r w:rsidR="006E615F">
        <w:rPr>
          <w:rFonts w:ascii="Calibri" w:hAnsi="Calibri" w:cs="Calibri"/>
          <w:szCs w:val="24"/>
          <w:lang w:eastAsia="ja-JP"/>
        </w:rPr>
        <w:t xml:space="preserve">the </w:t>
      </w:r>
      <w:r w:rsidR="0071388E">
        <w:rPr>
          <w:rFonts w:ascii="Calibri" w:hAnsi="Calibri" w:cs="Calibri"/>
          <w:szCs w:val="24"/>
          <w:lang w:eastAsia="ja-JP"/>
        </w:rPr>
        <w:t>migration IAB does not change, t</w:t>
      </w:r>
      <w:r w:rsidR="00A362DA">
        <w:rPr>
          <w:rFonts w:ascii="Calibri" w:hAnsi="Calibri" w:cs="Calibri"/>
          <w:szCs w:val="24"/>
          <w:lang w:eastAsia="ja-JP"/>
        </w:rPr>
        <w:t xml:space="preserve">he link between the descendant IAB and the migration IAB-node could be considered </w:t>
      </w:r>
      <w:r w:rsidR="006E615F">
        <w:rPr>
          <w:rFonts w:ascii="Calibri" w:hAnsi="Calibri" w:cs="Calibri"/>
          <w:szCs w:val="24"/>
          <w:lang w:eastAsia="ja-JP"/>
        </w:rPr>
        <w:t xml:space="preserve">to </w:t>
      </w:r>
      <w:r w:rsidR="00A362DA">
        <w:rPr>
          <w:rFonts w:ascii="Calibri" w:hAnsi="Calibri" w:cs="Calibri"/>
          <w:szCs w:val="24"/>
          <w:lang w:eastAsia="ja-JP"/>
        </w:rPr>
        <w:t xml:space="preserve">still </w:t>
      </w:r>
      <w:r w:rsidR="006E615F">
        <w:rPr>
          <w:rFonts w:ascii="Calibri" w:hAnsi="Calibri" w:cs="Calibri"/>
          <w:szCs w:val="24"/>
          <w:lang w:eastAsia="ja-JP"/>
        </w:rPr>
        <w:t xml:space="preserve">be </w:t>
      </w:r>
      <w:r>
        <w:rPr>
          <w:rFonts w:ascii="Calibri" w:hAnsi="Calibri" w:cs="Calibri"/>
          <w:szCs w:val="24"/>
          <w:lang w:eastAsia="ja-JP"/>
        </w:rPr>
        <w:t>well</w:t>
      </w:r>
      <w:r w:rsidR="00A362DA">
        <w:rPr>
          <w:rFonts w:ascii="Calibri" w:hAnsi="Calibri" w:cs="Calibri"/>
          <w:szCs w:val="24"/>
          <w:lang w:eastAsia="ja-JP"/>
        </w:rPr>
        <w:t xml:space="preserve">. </w:t>
      </w:r>
      <w:r w:rsidR="00AE1BCA">
        <w:rPr>
          <w:rFonts w:ascii="Calibri" w:hAnsi="Calibri" w:cs="Calibri"/>
          <w:szCs w:val="24"/>
          <w:lang w:eastAsia="ja-JP"/>
        </w:rPr>
        <w:t xml:space="preserve">The CHO execution conditions for the descendant IAB-node will not be triggered. Then, the descendant IAB-node will </w:t>
      </w:r>
      <w:r w:rsidR="006E615F">
        <w:rPr>
          <w:rFonts w:ascii="Calibri" w:hAnsi="Calibri" w:cs="Calibri"/>
          <w:szCs w:val="24"/>
          <w:lang w:eastAsia="ja-JP"/>
        </w:rPr>
        <w:t>migrate</w:t>
      </w:r>
      <w:r w:rsidR="00AE1BCA">
        <w:rPr>
          <w:rFonts w:ascii="Calibri" w:hAnsi="Calibri" w:cs="Calibri"/>
          <w:szCs w:val="24"/>
          <w:lang w:eastAsia="ja-JP"/>
        </w:rPr>
        <w:t xml:space="preserve"> with the migration IAB-node to the migration IAB-node’s target DU.</w:t>
      </w:r>
      <w:r w:rsidR="00A362DA" w:rsidRPr="00A362DA">
        <w:rPr>
          <w:rFonts w:ascii="Calibri" w:hAnsi="Calibri" w:cs="Calibri"/>
          <w:szCs w:val="24"/>
          <w:lang w:eastAsia="ja-JP"/>
        </w:rPr>
        <w:t xml:space="preserve"> </w:t>
      </w:r>
      <w:r w:rsidR="007E1573">
        <w:rPr>
          <w:rFonts w:ascii="Calibri" w:hAnsi="Calibri" w:cs="Calibri"/>
          <w:szCs w:val="24"/>
          <w:lang w:eastAsia="ja-JP"/>
        </w:rPr>
        <w:t>To receive the corresponded configuration of the CHO, a CHO notification from the migration IAB-node to the descendant IAB nodes will be useful.</w:t>
      </w:r>
    </w:p>
    <w:p w14:paraId="67D6770A" w14:textId="1D915C70" w:rsidR="00B73309" w:rsidRDefault="007B623B" w:rsidP="00A50FD0">
      <w:pPr>
        <w:spacing w:after="240" w:line="300" w:lineRule="exact"/>
        <w:rPr>
          <w:rFonts w:ascii="Calibri" w:hAnsi="Calibri" w:cs="Calibri"/>
          <w:szCs w:val="24"/>
          <w:lang w:eastAsia="ja-JP"/>
        </w:rPr>
      </w:pPr>
      <w:r>
        <w:rPr>
          <w:rFonts w:ascii="Calibri" w:hAnsi="Calibri" w:cs="Calibri"/>
          <w:szCs w:val="24"/>
          <w:lang w:eastAsia="ja-JP"/>
        </w:rPr>
        <w:t>Case 2:</w:t>
      </w:r>
      <w:r w:rsidR="00D92CA1">
        <w:rPr>
          <w:rFonts w:ascii="Calibri" w:hAnsi="Calibri" w:cs="Calibri"/>
          <w:szCs w:val="24"/>
          <w:lang w:eastAsia="ja-JP"/>
        </w:rPr>
        <w:t xml:space="preserve"> </w:t>
      </w:r>
      <w:r w:rsidR="0071388E">
        <w:rPr>
          <w:rFonts w:ascii="Calibri" w:hAnsi="Calibri" w:cs="Calibri"/>
          <w:szCs w:val="24"/>
          <w:lang w:eastAsia="ja-JP"/>
        </w:rPr>
        <w:t xml:space="preserve">inter-DU CHO. In this case, </w:t>
      </w:r>
      <w:r w:rsidR="00D92CA1">
        <w:rPr>
          <w:rFonts w:ascii="Calibri" w:hAnsi="Calibri" w:cs="Calibri"/>
          <w:szCs w:val="24"/>
          <w:lang w:eastAsia="ja-JP"/>
        </w:rPr>
        <w:t xml:space="preserve">if the frequency/PCI of </w:t>
      </w:r>
      <w:r w:rsidR="006E615F">
        <w:rPr>
          <w:rFonts w:ascii="Calibri" w:hAnsi="Calibri" w:cs="Calibri"/>
          <w:szCs w:val="24"/>
          <w:lang w:eastAsia="ja-JP"/>
        </w:rPr>
        <w:t xml:space="preserve">the </w:t>
      </w:r>
      <w:r w:rsidR="00D92CA1">
        <w:rPr>
          <w:rFonts w:ascii="Calibri" w:hAnsi="Calibri" w:cs="Calibri"/>
          <w:szCs w:val="24"/>
          <w:lang w:eastAsia="ja-JP"/>
        </w:rPr>
        <w:t xml:space="preserve">migration IAB node changes, </w:t>
      </w:r>
      <w:r>
        <w:rPr>
          <w:rFonts w:ascii="Calibri" w:hAnsi="Calibri" w:cs="Calibri"/>
          <w:szCs w:val="24"/>
          <w:lang w:eastAsia="ja-JP"/>
        </w:rPr>
        <w:t>the descendant IAB nodes might choose to execute CHO which is configured for itself. T</w:t>
      </w:r>
      <w:r w:rsidR="00D92CA1">
        <w:rPr>
          <w:rFonts w:ascii="Calibri" w:hAnsi="Calibri" w:cs="Calibri"/>
          <w:szCs w:val="24"/>
          <w:lang w:eastAsia="ja-JP"/>
        </w:rPr>
        <w:t xml:space="preserve">o have an optimized network topology, </w:t>
      </w:r>
      <w:r>
        <w:rPr>
          <w:rFonts w:ascii="Calibri" w:hAnsi="Calibri" w:cs="Calibri"/>
          <w:szCs w:val="24"/>
          <w:lang w:eastAsia="ja-JP"/>
        </w:rPr>
        <w:t xml:space="preserve">the descendant IAB nodes report its surrounding measurement to the IAB donor and receive the CHO execution condition </w:t>
      </w:r>
      <w:r w:rsidR="000A3B86">
        <w:rPr>
          <w:rFonts w:ascii="Calibri" w:hAnsi="Calibri" w:cs="Calibri"/>
          <w:szCs w:val="24"/>
          <w:lang w:eastAsia="ja-JP"/>
        </w:rPr>
        <w:t>together with the corresponding</w:t>
      </w:r>
      <w:bookmarkStart w:id="3" w:name="_GoBack"/>
      <w:bookmarkEnd w:id="3"/>
      <w:r w:rsidR="001F72C1">
        <w:rPr>
          <w:rFonts w:ascii="Calibri" w:hAnsi="Calibri" w:cs="Calibri"/>
          <w:szCs w:val="24"/>
          <w:lang w:eastAsia="ja-JP"/>
        </w:rPr>
        <w:t xml:space="preserve"> RRC reconfiguration message. We consider those information which are supposed to configure only for the descendant IAB nodes could be received before the migration IAB node execute its CHO. Similar as case 1, when the migration IAB nodes decides to CHO, it will send </w:t>
      </w:r>
      <w:r w:rsidR="00D92CA1">
        <w:rPr>
          <w:rFonts w:ascii="Calibri" w:hAnsi="Calibri" w:cs="Calibri"/>
          <w:szCs w:val="24"/>
          <w:lang w:eastAsia="ja-JP"/>
        </w:rPr>
        <w:t xml:space="preserve">CHO notification </w:t>
      </w:r>
      <w:r w:rsidR="001F72C1">
        <w:rPr>
          <w:rFonts w:ascii="Calibri" w:hAnsi="Calibri" w:cs="Calibri"/>
          <w:szCs w:val="24"/>
          <w:lang w:eastAsia="ja-JP"/>
        </w:rPr>
        <w:t>to</w:t>
      </w:r>
      <w:r w:rsidR="00D92CA1">
        <w:rPr>
          <w:rFonts w:ascii="Calibri" w:hAnsi="Calibri" w:cs="Calibri"/>
          <w:szCs w:val="24"/>
          <w:lang w:eastAsia="ja-JP"/>
        </w:rPr>
        <w:t xml:space="preserve"> the descendant IAB node</w:t>
      </w:r>
      <w:r w:rsidR="001F72C1">
        <w:rPr>
          <w:rFonts w:ascii="Calibri" w:hAnsi="Calibri" w:cs="Calibri"/>
          <w:szCs w:val="24"/>
          <w:lang w:eastAsia="ja-JP"/>
        </w:rPr>
        <w:t>.</w:t>
      </w:r>
      <w:r w:rsidR="00D92CA1">
        <w:rPr>
          <w:rFonts w:ascii="Calibri" w:hAnsi="Calibri" w:cs="Calibri"/>
          <w:szCs w:val="24"/>
          <w:lang w:eastAsia="ja-JP"/>
        </w:rPr>
        <w:t xml:space="preserve"> </w:t>
      </w:r>
      <w:r w:rsidR="001F72C1">
        <w:rPr>
          <w:rFonts w:ascii="Calibri" w:hAnsi="Calibri" w:cs="Calibri"/>
          <w:szCs w:val="24"/>
          <w:lang w:eastAsia="ja-JP"/>
        </w:rPr>
        <w:t xml:space="preserve">Then the descendant IAB nodes are able to make decisions based on the CHO condition of its own candidate and also the candidate from migration IAB node. </w:t>
      </w:r>
    </w:p>
    <w:p w14:paraId="58637044" w14:textId="1358FD1A" w:rsidR="00F10C45" w:rsidRDefault="00B73309" w:rsidP="00A50FD0">
      <w:pPr>
        <w:spacing w:after="240" w:line="300" w:lineRule="exact"/>
        <w:rPr>
          <w:rFonts w:ascii="Calibri" w:hAnsi="Calibri" w:cs="Calibri"/>
          <w:szCs w:val="24"/>
          <w:lang w:eastAsia="ja-JP"/>
        </w:rPr>
      </w:pPr>
      <w:r>
        <w:rPr>
          <w:rFonts w:ascii="Calibri" w:hAnsi="Calibri" w:cs="Calibri"/>
          <w:szCs w:val="24"/>
          <w:lang w:eastAsia="ja-JP"/>
        </w:rPr>
        <w:t>Hence,</w:t>
      </w:r>
      <w:r w:rsidR="00A362DA">
        <w:rPr>
          <w:rFonts w:ascii="Calibri" w:hAnsi="Calibri" w:cs="Calibri"/>
          <w:szCs w:val="24"/>
          <w:lang w:eastAsia="ja-JP"/>
        </w:rPr>
        <w:t xml:space="preserve"> </w:t>
      </w:r>
      <w:r w:rsidR="007E1573">
        <w:rPr>
          <w:rFonts w:ascii="Calibri" w:hAnsi="Calibri" w:cs="Calibri"/>
          <w:szCs w:val="24"/>
          <w:lang w:eastAsia="ja-JP"/>
        </w:rPr>
        <w:t>f</w:t>
      </w:r>
      <w:r w:rsidR="00F10C45">
        <w:rPr>
          <w:rFonts w:ascii="Calibri" w:hAnsi="Calibri" w:cs="Calibri"/>
          <w:szCs w:val="24"/>
          <w:lang w:eastAsia="ja-JP"/>
        </w:rPr>
        <w:t xml:space="preserve">rom the point of view of the descendant IAB nodes, </w:t>
      </w:r>
      <w:r w:rsidR="007E1573">
        <w:rPr>
          <w:rFonts w:ascii="Calibri" w:hAnsi="Calibri" w:cs="Calibri"/>
          <w:szCs w:val="24"/>
          <w:lang w:eastAsia="ja-JP"/>
        </w:rPr>
        <w:t xml:space="preserve">having the CHO notification from migration IAB node will always be useful for the descendant IAB node to make a decision of whether to migration with </w:t>
      </w:r>
      <w:r w:rsidR="000275B5">
        <w:rPr>
          <w:rFonts w:ascii="Calibri" w:hAnsi="Calibri" w:cs="Calibri"/>
          <w:szCs w:val="24"/>
          <w:lang w:eastAsia="ja-JP"/>
        </w:rPr>
        <w:t>the upstream migration IAB node or handover to its own candidate.</w:t>
      </w:r>
    </w:p>
    <w:p w14:paraId="4F18E112" w14:textId="54106C03" w:rsidR="00936425" w:rsidRPr="00B73309" w:rsidRDefault="00F10C45" w:rsidP="00B73309">
      <w:pPr>
        <w:spacing w:after="240" w:line="240" w:lineRule="auto"/>
        <w:rPr>
          <w:rFonts w:ascii="Segoe UI" w:eastAsia="ＭＳ Ｐゴシック" w:hAnsi="Segoe UI" w:cs="Segoe UI"/>
          <w:sz w:val="21"/>
          <w:szCs w:val="21"/>
          <w:lang w:eastAsia="ja-JP"/>
        </w:rPr>
      </w:pPr>
      <w:r>
        <w:rPr>
          <w:rFonts w:ascii="Segoe UI" w:eastAsia="ＭＳ Ｐゴシック" w:hAnsi="Segoe UI" w:cs="Segoe UI"/>
          <w:b/>
          <w:sz w:val="21"/>
          <w:szCs w:val="21"/>
          <w:lang w:eastAsia="ja-JP"/>
        </w:rPr>
        <w:t xml:space="preserve">Proposal </w:t>
      </w:r>
      <w:r w:rsidR="000275B5">
        <w:rPr>
          <w:rFonts w:ascii="Segoe UI" w:eastAsia="ＭＳ Ｐゴシック" w:hAnsi="Segoe UI" w:cs="Segoe UI"/>
          <w:b/>
          <w:sz w:val="21"/>
          <w:szCs w:val="21"/>
          <w:lang w:eastAsia="ja-JP"/>
        </w:rPr>
        <w:t>3</w:t>
      </w:r>
      <w:r>
        <w:rPr>
          <w:rFonts w:ascii="Segoe UI" w:eastAsia="ＭＳ Ｐゴシック" w:hAnsi="Segoe UI" w:cs="Segoe UI"/>
          <w:b/>
          <w:sz w:val="21"/>
          <w:szCs w:val="21"/>
          <w:lang w:eastAsia="ja-JP"/>
        </w:rPr>
        <w:t xml:space="preserve">: From the point of view of the </w:t>
      </w:r>
      <w:r w:rsidR="000275B5">
        <w:rPr>
          <w:rFonts w:ascii="Segoe UI" w:eastAsia="ＭＳ Ｐゴシック" w:hAnsi="Segoe UI" w:cs="Segoe UI"/>
          <w:b/>
          <w:sz w:val="21"/>
          <w:szCs w:val="21"/>
          <w:lang w:eastAsia="ja-JP"/>
        </w:rPr>
        <w:t>descendant</w:t>
      </w:r>
      <w:r>
        <w:rPr>
          <w:rFonts w:ascii="Segoe UI" w:eastAsia="ＭＳ Ｐゴシック" w:hAnsi="Segoe UI" w:cs="Segoe UI"/>
          <w:b/>
          <w:sz w:val="21"/>
          <w:szCs w:val="21"/>
          <w:lang w:eastAsia="ja-JP"/>
        </w:rPr>
        <w:t xml:space="preserve"> IAB nodes, CHO notification </w:t>
      </w:r>
      <w:r w:rsidR="000275B5">
        <w:rPr>
          <w:rFonts w:ascii="Segoe UI" w:eastAsia="ＭＳ Ｐゴシック" w:hAnsi="Segoe UI" w:cs="Segoe UI"/>
          <w:b/>
          <w:sz w:val="21"/>
          <w:szCs w:val="21"/>
          <w:lang w:eastAsia="ja-JP"/>
        </w:rPr>
        <w:t>from the migration IAB node will be helpful for the descendant IAB nodes to make decision and have optimized topology.</w:t>
      </w:r>
    </w:p>
    <w:p w14:paraId="09D352E9" w14:textId="5CF11C4C" w:rsidR="00936425" w:rsidRDefault="00CA0ECD" w:rsidP="00436A32">
      <w:pPr>
        <w:spacing w:after="0" w:line="240" w:lineRule="auto"/>
        <w:jc w:val="center"/>
        <w:rPr>
          <w:rFonts w:ascii="Calibri" w:hAnsi="Calibri" w:cs="Calibri"/>
          <w:szCs w:val="24"/>
          <w:lang w:val="en-GB" w:eastAsia="ja-JP"/>
        </w:rPr>
      </w:pPr>
      <w:r>
        <w:rPr>
          <w:rFonts w:ascii="Calibri" w:hAnsi="Calibri" w:cs="Calibri"/>
          <w:noProof/>
          <w:szCs w:val="24"/>
          <w:lang w:eastAsia="ja-JP"/>
        </w:rPr>
        <w:drawing>
          <wp:inline distT="0" distB="0" distL="0" distR="0" wp14:anchorId="070D2A3B" wp14:editId="7EA3E011">
            <wp:extent cx="2996906" cy="2622999"/>
            <wp:effectExtent l="0" t="0" r="0" b="635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5597" cy="2639358"/>
                    </a:xfrm>
                    <a:prstGeom prst="rect">
                      <a:avLst/>
                    </a:prstGeom>
                    <a:noFill/>
                    <a:ln>
                      <a:noFill/>
                    </a:ln>
                  </pic:spPr>
                </pic:pic>
              </a:graphicData>
            </a:graphic>
          </wp:inline>
        </w:drawing>
      </w:r>
    </w:p>
    <w:p w14:paraId="362BBFAB" w14:textId="061C84DD" w:rsidR="00936425" w:rsidRDefault="00CA0ECD" w:rsidP="0057588D">
      <w:pPr>
        <w:spacing w:after="0" w:line="240" w:lineRule="auto"/>
        <w:jc w:val="center"/>
        <w:rPr>
          <w:rFonts w:ascii="Calibri" w:hAnsi="Calibri" w:cs="Calibri"/>
          <w:szCs w:val="24"/>
          <w:lang w:val="en-GB" w:eastAsia="ja-JP"/>
        </w:rPr>
      </w:pPr>
      <w:r w:rsidRPr="00CA0ECD">
        <w:rPr>
          <w:rFonts w:ascii="Calibri" w:hAnsi="Calibri" w:cs="Calibri" w:hint="eastAsia"/>
          <w:szCs w:val="24"/>
          <w:lang w:val="en-GB" w:eastAsia="ja-JP"/>
        </w:rPr>
        <w:t>F</w:t>
      </w:r>
      <w:r w:rsidRPr="00CA0ECD">
        <w:rPr>
          <w:rFonts w:ascii="Calibri" w:hAnsi="Calibri" w:cs="Calibri"/>
          <w:szCs w:val="24"/>
          <w:lang w:val="en-GB" w:eastAsia="ja-JP"/>
        </w:rPr>
        <w:t xml:space="preserve">igure 1. </w:t>
      </w:r>
      <w:r>
        <w:rPr>
          <w:rFonts w:ascii="Calibri" w:hAnsi="Calibri" w:cs="Calibri"/>
          <w:szCs w:val="24"/>
          <w:lang w:val="en-GB" w:eastAsia="ja-JP"/>
        </w:rPr>
        <w:t>Multiple descent-IAB-nodes scenario</w:t>
      </w:r>
    </w:p>
    <w:p w14:paraId="5D1DF116" w14:textId="6B948790" w:rsidR="00C96852" w:rsidRPr="00F15909" w:rsidRDefault="00EB5192" w:rsidP="00F15909">
      <w:pPr>
        <w:spacing w:after="0" w:line="240" w:lineRule="auto"/>
        <w:rPr>
          <w:rFonts w:ascii="ＭＳ Ｐゴシック" w:eastAsia="ＭＳ Ｐゴシック" w:hAnsi="ＭＳ Ｐゴシック" w:cs="ＭＳ Ｐゴシック"/>
          <w:sz w:val="24"/>
          <w:szCs w:val="24"/>
          <w:lang w:eastAsia="ja-JP"/>
        </w:rPr>
      </w:pPr>
      <w:r w:rsidRPr="009E2FD9">
        <w:rPr>
          <w:rFonts w:ascii="ＭＳ Ｐゴシック" w:eastAsia="ＭＳ Ｐゴシック" w:hAnsi="ＭＳ Ｐゴシック" w:cs="ＭＳ Ｐゴシック"/>
          <w:sz w:val="24"/>
          <w:szCs w:val="24"/>
          <w:lang w:eastAsia="ja-JP"/>
        </w:rPr>
        <w:lastRenderedPageBreak/>
        <w:t>​</w:t>
      </w:r>
    </w:p>
    <w:p w14:paraId="2CBEF9F0" w14:textId="19DFCCF5" w:rsidR="007634F9" w:rsidRDefault="00432E7B" w:rsidP="007634F9">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Conclusions</w:t>
      </w:r>
    </w:p>
    <w:p w14:paraId="5F7596C8" w14:textId="3D613320" w:rsidR="00432E7B" w:rsidRPr="00E87620" w:rsidRDefault="00432E7B" w:rsidP="00432E7B">
      <w:pPr>
        <w:spacing w:after="240" w:line="300" w:lineRule="exact"/>
        <w:rPr>
          <w:rFonts w:ascii="Calibri" w:hAnsi="Calibri" w:cs="Calibri"/>
          <w:szCs w:val="24"/>
          <w:lang w:val="en-GB" w:eastAsia="ja-JP"/>
        </w:rPr>
      </w:pPr>
      <w:r w:rsidRPr="00E87620">
        <w:rPr>
          <w:lang w:eastAsia="ja-JP"/>
        </w:rPr>
        <w:t xml:space="preserve">In this contribution, </w:t>
      </w:r>
      <w:r w:rsidR="00966F3A" w:rsidRPr="00E87620">
        <w:rPr>
          <w:lang w:eastAsia="ja-JP"/>
        </w:rPr>
        <w:t xml:space="preserve">we share our views on </w:t>
      </w:r>
      <w:r w:rsidR="00E87620" w:rsidRPr="00E87620">
        <w:rPr>
          <w:lang w:eastAsia="ja-JP"/>
        </w:rPr>
        <w:t>intra-donor CHO in IAB</w:t>
      </w:r>
      <w:r w:rsidRPr="00E87620">
        <w:rPr>
          <w:rFonts w:ascii="Calibri" w:hAnsi="Calibri" w:cs="Calibri"/>
          <w:szCs w:val="24"/>
          <w:lang w:val="en-GB" w:eastAsia="ja-JP"/>
        </w:rPr>
        <w:t xml:space="preserve">. </w:t>
      </w:r>
      <w:r w:rsidR="00966F3A" w:rsidRPr="00E87620">
        <w:rPr>
          <w:rFonts w:ascii="Calibri" w:hAnsi="Calibri" w:cs="Calibri"/>
          <w:szCs w:val="24"/>
          <w:lang w:val="en-GB" w:eastAsia="ja-JP"/>
        </w:rPr>
        <w:t xml:space="preserve">Based on our </w:t>
      </w:r>
      <w:r w:rsidR="00BC147A" w:rsidRPr="00E87620">
        <w:rPr>
          <w:rFonts w:ascii="Calibri" w:hAnsi="Calibri" w:cs="Calibri"/>
          <w:szCs w:val="24"/>
          <w:lang w:val="en-GB" w:eastAsia="ja-JP"/>
        </w:rPr>
        <w:t>considerations, the following is proposed:</w:t>
      </w:r>
    </w:p>
    <w:p w14:paraId="54489084" w14:textId="69D2672C" w:rsidR="007634F9" w:rsidRDefault="00E87620" w:rsidP="00431FC5">
      <w:pPr>
        <w:spacing w:after="240" w:line="300" w:lineRule="exact"/>
        <w:rPr>
          <w:rFonts w:ascii="Segoe UI" w:eastAsia="ＭＳ Ｐゴシック" w:hAnsi="Segoe UI" w:cs="Segoe UI"/>
          <w:b/>
          <w:sz w:val="21"/>
          <w:szCs w:val="21"/>
          <w:lang w:eastAsia="ja-JP"/>
        </w:rPr>
      </w:pPr>
      <w:r>
        <w:rPr>
          <w:rFonts w:ascii="Calibri" w:hAnsi="Calibri" w:cs="Calibri"/>
          <w:b/>
          <w:szCs w:val="24"/>
          <w:lang w:val="en-GB" w:eastAsia="ja-JP"/>
        </w:rPr>
        <w:t>Observation</w:t>
      </w:r>
      <w:r w:rsidRPr="0002564B">
        <w:rPr>
          <w:rFonts w:ascii="Segoe UI" w:eastAsia="ＭＳ Ｐゴシック" w:hAnsi="Segoe UI" w:cs="Segoe UI"/>
          <w:b/>
          <w:sz w:val="21"/>
          <w:szCs w:val="21"/>
          <w:lang w:eastAsia="ja-JP"/>
        </w:rPr>
        <w:t xml:space="preserve"> 1</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CHO need to be configured in every IAB-node, and CHO configuration of the descent IAB-nodes might be different from the migration IAB-node.</w:t>
      </w:r>
    </w:p>
    <w:p w14:paraId="332C4898" w14:textId="77777777" w:rsidR="00E87620" w:rsidRDefault="00E87620" w:rsidP="00E87620">
      <w:pPr>
        <w:spacing w:after="240" w:line="240" w:lineRule="auto"/>
        <w:rPr>
          <w:rFonts w:ascii="Segoe UI" w:eastAsia="ＭＳ Ｐゴシック" w:hAnsi="Segoe UI" w:cs="Segoe UI"/>
          <w:b/>
          <w:sz w:val="21"/>
          <w:szCs w:val="21"/>
          <w:lang w:eastAsia="ja-JP"/>
        </w:rPr>
      </w:pPr>
      <w:r>
        <w:rPr>
          <w:rFonts w:ascii="Calibri" w:hAnsi="Calibri" w:cs="Calibri"/>
          <w:b/>
          <w:szCs w:val="24"/>
          <w:lang w:val="en-GB" w:eastAsia="ja-JP"/>
        </w:rPr>
        <w:t>Proposal</w:t>
      </w:r>
      <w:r w:rsidRPr="0002564B">
        <w:rPr>
          <w:rFonts w:ascii="Segoe UI" w:eastAsia="ＭＳ Ｐゴシック" w:hAnsi="Segoe UI" w:cs="Segoe UI"/>
          <w:b/>
          <w:sz w:val="21"/>
          <w:szCs w:val="21"/>
          <w:lang w:eastAsia="ja-JP"/>
        </w:rPr>
        <w:t xml:space="preserve"> 1</w:t>
      </w:r>
      <w:r>
        <w:rPr>
          <w:rFonts w:ascii="Segoe UI" w:eastAsia="ＭＳ Ｐゴシック" w:hAnsi="Segoe UI" w:cs="Segoe UI"/>
          <w:sz w:val="21"/>
          <w:szCs w:val="21"/>
          <w:lang w:eastAsia="ja-JP"/>
        </w:rPr>
        <w:t>:</w:t>
      </w:r>
      <w:r w:rsidRPr="00F15909">
        <w:rPr>
          <w:rFonts w:ascii="Segoe UI" w:eastAsia="ＭＳ Ｐゴシック" w:hAnsi="Segoe UI" w:cs="Segoe UI"/>
          <w:b/>
          <w:sz w:val="21"/>
          <w:szCs w:val="21"/>
          <w:lang w:eastAsia="ja-JP"/>
        </w:rPr>
        <w:t xml:space="preserve"> </w:t>
      </w:r>
      <w:r>
        <w:rPr>
          <w:rFonts w:ascii="Segoe UI" w:eastAsia="ＭＳ Ｐゴシック" w:hAnsi="Segoe UI" w:cs="Segoe UI"/>
          <w:b/>
          <w:sz w:val="21"/>
          <w:szCs w:val="21"/>
          <w:lang w:eastAsia="ja-JP"/>
        </w:rPr>
        <w:t xml:space="preserve">Migration IAB-node sends a CHO notification to the descendant IAB-node. </w:t>
      </w:r>
    </w:p>
    <w:p w14:paraId="47CCFDF1" w14:textId="1243E23B" w:rsidR="00E87620" w:rsidRDefault="00E87620" w:rsidP="00E87620">
      <w:pPr>
        <w:spacing w:after="240" w:line="300" w:lineRule="exact"/>
        <w:rPr>
          <w:rFonts w:ascii="Segoe UI" w:eastAsia="ＭＳ Ｐゴシック" w:hAnsi="Segoe UI" w:cs="Segoe UI"/>
          <w:b/>
          <w:sz w:val="21"/>
          <w:szCs w:val="21"/>
          <w:lang w:eastAsia="ja-JP"/>
        </w:rPr>
      </w:pPr>
      <w:r>
        <w:rPr>
          <w:rFonts w:ascii="Segoe UI" w:eastAsia="ＭＳ Ｐゴシック" w:hAnsi="Segoe UI" w:cs="Segoe UI"/>
          <w:b/>
          <w:sz w:val="21"/>
          <w:szCs w:val="21"/>
          <w:lang w:eastAsia="ja-JP"/>
        </w:rPr>
        <w:t>Proposal 2: Descendant IAB-node decides whether to migration with migration IAB-node or not.</w:t>
      </w:r>
    </w:p>
    <w:p w14:paraId="514AB88A" w14:textId="3206EB88" w:rsidR="002559DB" w:rsidRPr="0061380F" w:rsidRDefault="0061380F" w:rsidP="000275B5">
      <w:pPr>
        <w:spacing w:after="240" w:line="240" w:lineRule="auto"/>
        <w:rPr>
          <w:rFonts w:ascii="Calibri" w:hAnsi="Calibri" w:cs="Calibri"/>
          <w:szCs w:val="24"/>
          <w:lang w:eastAsia="ja-JP"/>
        </w:rPr>
      </w:pPr>
      <w:r>
        <w:rPr>
          <w:rFonts w:ascii="Segoe UI" w:eastAsia="ＭＳ Ｐゴシック" w:hAnsi="Segoe UI" w:cs="Segoe UI"/>
          <w:b/>
          <w:sz w:val="21"/>
          <w:szCs w:val="21"/>
          <w:lang w:eastAsia="ja-JP"/>
        </w:rPr>
        <w:t xml:space="preserve">Proposal </w:t>
      </w:r>
      <w:r>
        <w:rPr>
          <w:rFonts w:ascii="Segoe UI" w:eastAsia="ＭＳ Ｐゴシック" w:hAnsi="Segoe UI" w:cs="Segoe UI" w:hint="eastAsia"/>
          <w:b/>
          <w:sz w:val="21"/>
          <w:szCs w:val="21"/>
          <w:lang w:eastAsia="ja-JP"/>
        </w:rPr>
        <w:t>3</w:t>
      </w:r>
      <w:r>
        <w:rPr>
          <w:rFonts w:ascii="Segoe UI" w:eastAsia="ＭＳ Ｐゴシック" w:hAnsi="Segoe UI" w:cs="Segoe UI"/>
          <w:b/>
          <w:sz w:val="21"/>
          <w:szCs w:val="21"/>
          <w:lang w:eastAsia="ja-JP"/>
        </w:rPr>
        <w:t xml:space="preserve">: </w:t>
      </w:r>
      <w:r w:rsidR="000275B5">
        <w:rPr>
          <w:rFonts w:ascii="Segoe UI" w:eastAsia="ＭＳ Ｐゴシック" w:hAnsi="Segoe UI" w:cs="Segoe UI"/>
          <w:b/>
          <w:sz w:val="21"/>
          <w:szCs w:val="21"/>
          <w:lang w:eastAsia="ja-JP"/>
        </w:rPr>
        <w:t>From the point of view of the descendant IAB nodes, CHO notification from the migration IAB node will be helpful for the descendant IAB nodes to make decision and have optimized topology.</w:t>
      </w:r>
    </w:p>
    <w:p w14:paraId="7EDD0C03"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sectPr w:rsidR="008722B8" w:rsidSect="00E70630">
      <w:footerReference w:type="default" r:id="rId9"/>
      <w:pgSz w:w="12240" w:h="15840" w:code="1"/>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21D2E" w14:textId="77777777" w:rsidR="00F25659" w:rsidRDefault="00F25659" w:rsidP="000519FA">
      <w:pPr>
        <w:spacing w:after="0" w:line="240" w:lineRule="auto"/>
      </w:pPr>
      <w:r>
        <w:separator/>
      </w:r>
    </w:p>
  </w:endnote>
  <w:endnote w:type="continuationSeparator" w:id="0">
    <w:p w14:paraId="6AF181A9" w14:textId="77777777" w:rsidR="00F25659" w:rsidRDefault="00F2565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6384B7E" w14:textId="736EC373" w:rsidR="00656182" w:rsidRDefault="00656182">
        <w:pPr>
          <w:pStyle w:val="ac"/>
          <w:jc w:val="center"/>
        </w:pPr>
        <w:r>
          <w:fldChar w:fldCharType="begin"/>
        </w:r>
        <w:r>
          <w:instrText xml:space="preserve"> PAGE   \* MERGEFORMAT </w:instrText>
        </w:r>
        <w:r>
          <w:fldChar w:fldCharType="separate"/>
        </w:r>
        <w:r w:rsidR="000A3B86">
          <w:rPr>
            <w:noProof/>
          </w:rPr>
          <w:t>2</w:t>
        </w:r>
        <w:r>
          <w:rPr>
            <w:noProof/>
          </w:rPr>
          <w:fldChar w:fldCharType="end"/>
        </w:r>
      </w:p>
    </w:sdtContent>
  </w:sdt>
  <w:p w14:paraId="58B4F823" w14:textId="77777777" w:rsidR="00656182" w:rsidRDefault="006561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B30D2" w14:textId="77777777" w:rsidR="00F25659" w:rsidRDefault="00F25659" w:rsidP="000519FA">
      <w:pPr>
        <w:spacing w:after="0" w:line="240" w:lineRule="auto"/>
      </w:pPr>
      <w:r>
        <w:separator/>
      </w:r>
    </w:p>
  </w:footnote>
  <w:footnote w:type="continuationSeparator" w:id="0">
    <w:p w14:paraId="2C3E3571" w14:textId="77777777" w:rsidR="00F25659" w:rsidRDefault="00F2565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20D7"/>
    <w:multiLevelType w:val="hybridMultilevel"/>
    <w:tmpl w:val="67164644"/>
    <w:lvl w:ilvl="0" w:tplc="AED0D9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3D4C4C"/>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0F06B9"/>
    <w:multiLevelType w:val="hybridMultilevel"/>
    <w:tmpl w:val="17F21626"/>
    <w:lvl w:ilvl="0" w:tplc="75C0D3C8">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D86D12"/>
    <w:multiLevelType w:val="hybridMultilevel"/>
    <w:tmpl w:val="2B26BEC6"/>
    <w:lvl w:ilvl="0" w:tplc="BD6EADC6">
      <w:start w:val="1"/>
      <w:numFmt w:val="bullet"/>
      <w:lvlText w:val="※"/>
      <w:lvlJc w:val="left"/>
      <w:pPr>
        <w:ind w:left="360" w:hanging="360"/>
      </w:pPr>
      <w:rPr>
        <w:rFonts w:ascii="ＭＳ 明朝" w:eastAsia="ＭＳ 明朝" w:hAnsi="ＭＳ 明朝" w:cs="Calibr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4113CB"/>
    <w:multiLevelType w:val="hybridMultilevel"/>
    <w:tmpl w:val="ECD2D5F0"/>
    <w:lvl w:ilvl="0" w:tplc="AC9444E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 w15:restartNumberingAfterBreak="0">
    <w:nsid w:val="49CA1D97"/>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870777"/>
    <w:multiLevelType w:val="hybridMultilevel"/>
    <w:tmpl w:val="DF5E9E3A"/>
    <w:lvl w:ilvl="0" w:tplc="04090011">
      <w:start w:val="1"/>
      <w:numFmt w:val="decimalEnclosedCircle"/>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3"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B23D10"/>
    <w:multiLevelType w:val="hybridMultilevel"/>
    <w:tmpl w:val="B7C6C000"/>
    <w:lvl w:ilvl="0" w:tplc="04090001">
      <w:start w:val="1"/>
      <w:numFmt w:val="bullet"/>
      <w:lvlText w:val=""/>
      <w:lvlJc w:val="left"/>
      <w:pPr>
        <w:ind w:left="388" w:hanging="360"/>
      </w:pPr>
      <w:rPr>
        <w:rFonts w:ascii="Symbol" w:hAnsi="Symbol"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5" w15:restartNumberingAfterBreak="0">
    <w:nsid w:val="67BE24F0"/>
    <w:multiLevelType w:val="hybridMultilevel"/>
    <w:tmpl w:val="8CA4E6A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num w:numId="1">
    <w:abstractNumId w:val="2"/>
  </w:num>
  <w:num w:numId="2">
    <w:abstractNumId w:val="10"/>
  </w:num>
  <w:num w:numId="3">
    <w:abstractNumId w:val="16"/>
  </w:num>
  <w:num w:numId="4">
    <w:abstractNumId w:val="3"/>
  </w:num>
  <w:num w:numId="5">
    <w:abstractNumId w:val="5"/>
  </w:num>
  <w:num w:numId="6">
    <w:abstractNumId w:val="12"/>
  </w:num>
  <w:num w:numId="7">
    <w:abstractNumId w:val="13"/>
  </w:num>
  <w:num w:numId="8">
    <w:abstractNumId w:val="8"/>
  </w:num>
  <w:num w:numId="9">
    <w:abstractNumId w:val="0"/>
  </w:num>
  <w:num w:numId="10">
    <w:abstractNumId w:val="6"/>
  </w:num>
  <w:num w:numId="11">
    <w:abstractNumId w:val="15"/>
  </w:num>
  <w:num w:numId="12">
    <w:abstractNumId w:val="9"/>
  </w:num>
  <w:num w:numId="13">
    <w:abstractNumId w:val="11"/>
  </w:num>
  <w:num w:numId="14">
    <w:abstractNumId w:val="1"/>
  </w:num>
  <w:num w:numId="15">
    <w:abstractNumId w:val="7"/>
  </w:num>
  <w:num w:numId="16">
    <w:abstractNumId w:val="4"/>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88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34B"/>
    <w:rsid w:val="00021E7B"/>
    <w:rsid w:val="00022204"/>
    <w:rsid w:val="00022C35"/>
    <w:rsid w:val="00022CCB"/>
    <w:rsid w:val="00025435"/>
    <w:rsid w:val="0002564B"/>
    <w:rsid w:val="000275B5"/>
    <w:rsid w:val="00027E68"/>
    <w:rsid w:val="00030F14"/>
    <w:rsid w:val="00032FF5"/>
    <w:rsid w:val="000330CB"/>
    <w:rsid w:val="00034701"/>
    <w:rsid w:val="000366F9"/>
    <w:rsid w:val="0003672D"/>
    <w:rsid w:val="0003674B"/>
    <w:rsid w:val="00036E7E"/>
    <w:rsid w:val="000373DA"/>
    <w:rsid w:val="00037DAC"/>
    <w:rsid w:val="00040121"/>
    <w:rsid w:val="0004043A"/>
    <w:rsid w:val="00041657"/>
    <w:rsid w:val="00042632"/>
    <w:rsid w:val="00042AC2"/>
    <w:rsid w:val="00042C03"/>
    <w:rsid w:val="000479D5"/>
    <w:rsid w:val="000519FA"/>
    <w:rsid w:val="000526AC"/>
    <w:rsid w:val="00052CB2"/>
    <w:rsid w:val="00052E12"/>
    <w:rsid w:val="000530E0"/>
    <w:rsid w:val="000534D4"/>
    <w:rsid w:val="000549B7"/>
    <w:rsid w:val="000549D5"/>
    <w:rsid w:val="00055C01"/>
    <w:rsid w:val="00056294"/>
    <w:rsid w:val="00057BAC"/>
    <w:rsid w:val="00057E68"/>
    <w:rsid w:val="00061017"/>
    <w:rsid w:val="00061AE4"/>
    <w:rsid w:val="0006202B"/>
    <w:rsid w:val="00062F05"/>
    <w:rsid w:val="00063534"/>
    <w:rsid w:val="000648F1"/>
    <w:rsid w:val="00064F92"/>
    <w:rsid w:val="000654AE"/>
    <w:rsid w:val="00066DC9"/>
    <w:rsid w:val="000709E9"/>
    <w:rsid w:val="00072A13"/>
    <w:rsid w:val="000733F5"/>
    <w:rsid w:val="00073C1D"/>
    <w:rsid w:val="00073C42"/>
    <w:rsid w:val="000742CA"/>
    <w:rsid w:val="0007451A"/>
    <w:rsid w:val="000746F1"/>
    <w:rsid w:val="00074772"/>
    <w:rsid w:val="00074CAD"/>
    <w:rsid w:val="00075BA9"/>
    <w:rsid w:val="000778D6"/>
    <w:rsid w:val="00080069"/>
    <w:rsid w:val="00080A19"/>
    <w:rsid w:val="00081065"/>
    <w:rsid w:val="00082055"/>
    <w:rsid w:val="000826B7"/>
    <w:rsid w:val="000836E2"/>
    <w:rsid w:val="000838F7"/>
    <w:rsid w:val="00083B3E"/>
    <w:rsid w:val="000844D3"/>
    <w:rsid w:val="000852A4"/>
    <w:rsid w:val="00090665"/>
    <w:rsid w:val="00091B05"/>
    <w:rsid w:val="00093162"/>
    <w:rsid w:val="00094199"/>
    <w:rsid w:val="000955A2"/>
    <w:rsid w:val="000971F4"/>
    <w:rsid w:val="000A2526"/>
    <w:rsid w:val="000A3139"/>
    <w:rsid w:val="000A314C"/>
    <w:rsid w:val="000A360C"/>
    <w:rsid w:val="000A3B86"/>
    <w:rsid w:val="000A4533"/>
    <w:rsid w:val="000A4AA0"/>
    <w:rsid w:val="000A50F5"/>
    <w:rsid w:val="000A5905"/>
    <w:rsid w:val="000A74FA"/>
    <w:rsid w:val="000A7CC5"/>
    <w:rsid w:val="000B0330"/>
    <w:rsid w:val="000B26CD"/>
    <w:rsid w:val="000B2D61"/>
    <w:rsid w:val="000B381D"/>
    <w:rsid w:val="000B4ECA"/>
    <w:rsid w:val="000B5D54"/>
    <w:rsid w:val="000B70D3"/>
    <w:rsid w:val="000B7583"/>
    <w:rsid w:val="000C01A3"/>
    <w:rsid w:val="000C04BB"/>
    <w:rsid w:val="000C1B01"/>
    <w:rsid w:val="000C2A54"/>
    <w:rsid w:val="000C3414"/>
    <w:rsid w:val="000C4457"/>
    <w:rsid w:val="000C584A"/>
    <w:rsid w:val="000C704A"/>
    <w:rsid w:val="000C7447"/>
    <w:rsid w:val="000C7469"/>
    <w:rsid w:val="000C790A"/>
    <w:rsid w:val="000D04AB"/>
    <w:rsid w:val="000D0C3B"/>
    <w:rsid w:val="000D0D93"/>
    <w:rsid w:val="000D34DB"/>
    <w:rsid w:val="000D3E27"/>
    <w:rsid w:val="000D403A"/>
    <w:rsid w:val="000D4C06"/>
    <w:rsid w:val="000E00F6"/>
    <w:rsid w:val="000E0D7C"/>
    <w:rsid w:val="000E1BE7"/>
    <w:rsid w:val="000E20D5"/>
    <w:rsid w:val="000E349C"/>
    <w:rsid w:val="000E3B9A"/>
    <w:rsid w:val="000E4F92"/>
    <w:rsid w:val="000E5B3D"/>
    <w:rsid w:val="000E6009"/>
    <w:rsid w:val="000E6025"/>
    <w:rsid w:val="000E79B1"/>
    <w:rsid w:val="000E7C02"/>
    <w:rsid w:val="000E7F24"/>
    <w:rsid w:val="000F015B"/>
    <w:rsid w:val="000F05B2"/>
    <w:rsid w:val="000F0C87"/>
    <w:rsid w:val="000F1758"/>
    <w:rsid w:val="000F185C"/>
    <w:rsid w:val="000F42D9"/>
    <w:rsid w:val="000F52E9"/>
    <w:rsid w:val="000F53E9"/>
    <w:rsid w:val="000F5801"/>
    <w:rsid w:val="000F5F2A"/>
    <w:rsid w:val="001005D2"/>
    <w:rsid w:val="001009AD"/>
    <w:rsid w:val="00101870"/>
    <w:rsid w:val="00101BBD"/>
    <w:rsid w:val="001026A9"/>
    <w:rsid w:val="00103493"/>
    <w:rsid w:val="00103D6E"/>
    <w:rsid w:val="00103FE5"/>
    <w:rsid w:val="00104096"/>
    <w:rsid w:val="00105C9E"/>
    <w:rsid w:val="0010616A"/>
    <w:rsid w:val="001063BC"/>
    <w:rsid w:val="00107154"/>
    <w:rsid w:val="00107F56"/>
    <w:rsid w:val="00110692"/>
    <w:rsid w:val="00110759"/>
    <w:rsid w:val="0011086B"/>
    <w:rsid w:val="00110BF1"/>
    <w:rsid w:val="00113025"/>
    <w:rsid w:val="00113A95"/>
    <w:rsid w:val="00114966"/>
    <w:rsid w:val="001175C0"/>
    <w:rsid w:val="0012237E"/>
    <w:rsid w:val="00122ADB"/>
    <w:rsid w:val="0012491E"/>
    <w:rsid w:val="0012564A"/>
    <w:rsid w:val="00127734"/>
    <w:rsid w:val="0013288C"/>
    <w:rsid w:val="00132E99"/>
    <w:rsid w:val="001330E2"/>
    <w:rsid w:val="00140E8C"/>
    <w:rsid w:val="00141632"/>
    <w:rsid w:val="0014187A"/>
    <w:rsid w:val="001418C6"/>
    <w:rsid w:val="001430FB"/>
    <w:rsid w:val="00143A4D"/>
    <w:rsid w:val="00144667"/>
    <w:rsid w:val="00145782"/>
    <w:rsid w:val="00145B91"/>
    <w:rsid w:val="00145BA9"/>
    <w:rsid w:val="00145BF9"/>
    <w:rsid w:val="00146CD2"/>
    <w:rsid w:val="00147201"/>
    <w:rsid w:val="001475DC"/>
    <w:rsid w:val="00147D27"/>
    <w:rsid w:val="001523AE"/>
    <w:rsid w:val="00152BF2"/>
    <w:rsid w:val="00153AB6"/>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98"/>
    <w:rsid w:val="00166CA6"/>
    <w:rsid w:val="00170442"/>
    <w:rsid w:val="001712ED"/>
    <w:rsid w:val="00171DDF"/>
    <w:rsid w:val="00174964"/>
    <w:rsid w:val="001820FF"/>
    <w:rsid w:val="0018472F"/>
    <w:rsid w:val="0018564F"/>
    <w:rsid w:val="001857A5"/>
    <w:rsid w:val="0018599D"/>
    <w:rsid w:val="00185D11"/>
    <w:rsid w:val="001862BE"/>
    <w:rsid w:val="00187C6F"/>
    <w:rsid w:val="00187F07"/>
    <w:rsid w:val="001911D4"/>
    <w:rsid w:val="00191A9B"/>
    <w:rsid w:val="00192123"/>
    <w:rsid w:val="001921EC"/>
    <w:rsid w:val="00192935"/>
    <w:rsid w:val="00192EB1"/>
    <w:rsid w:val="00193057"/>
    <w:rsid w:val="00193781"/>
    <w:rsid w:val="00193810"/>
    <w:rsid w:val="00194ADB"/>
    <w:rsid w:val="00195EDC"/>
    <w:rsid w:val="0019665C"/>
    <w:rsid w:val="001966F6"/>
    <w:rsid w:val="00197E0B"/>
    <w:rsid w:val="001A0785"/>
    <w:rsid w:val="001A085C"/>
    <w:rsid w:val="001A0B1E"/>
    <w:rsid w:val="001A0FB6"/>
    <w:rsid w:val="001A141D"/>
    <w:rsid w:val="001A1FF8"/>
    <w:rsid w:val="001A4BC4"/>
    <w:rsid w:val="001A5D61"/>
    <w:rsid w:val="001A65FA"/>
    <w:rsid w:val="001A6D9F"/>
    <w:rsid w:val="001B0323"/>
    <w:rsid w:val="001B035A"/>
    <w:rsid w:val="001B15D0"/>
    <w:rsid w:val="001B1785"/>
    <w:rsid w:val="001B20D7"/>
    <w:rsid w:val="001B28EA"/>
    <w:rsid w:val="001B30BA"/>
    <w:rsid w:val="001B376A"/>
    <w:rsid w:val="001B474B"/>
    <w:rsid w:val="001B53EC"/>
    <w:rsid w:val="001B7391"/>
    <w:rsid w:val="001B77EE"/>
    <w:rsid w:val="001C06C3"/>
    <w:rsid w:val="001C0C38"/>
    <w:rsid w:val="001C1920"/>
    <w:rsid w:val="001C54C3"/>
    <w:rsid w:val="001C5E5F"/>
    <w:rsid w:val="001C66D9"/>
    <w:rsid w:val="001C67AE"/>
    <w:rsid w:val="001C6E3E"/>
    <w:rsid w:val="001C7E39"/>
    <w:rsid w:val="001D1BAC"/>
    <w:rsid w:val="001D4857"/>
    <w:rsid w:val="001D56D7"/>
    <w:rsid w:val="001D5D44"/>
    <w:rsid w:val="001D7850"/>
    <w:rsid w:val="001D7AFF"/>
    <w:rsid w:val="001D7C16"/>
    <w:rsid w:val="001E0C2B"/>
    <w:rsid w:val="001E0D4D"/>
    <w:rsid w:val="001E117E"/>
    <w:rsid w:val="001E1EC4"/>
    <w:rsid w:val="001E2163"/>
    <w:rsid w:val="001E3C95"/>
    <w:rsid w:val="001E46B5"/>
    <w:rsid w:val="001E4A10"/>
    <w:rsid w:val="001E51C0"/>
    <w:rsid w:val="001E57BA"/>
    <w:rsid w:val="001E5AC1"/>
    <w:rsid w:val="001E5FE9"/>
    <w:rsid w:val="001E66B6"/>
    <w:rsid w:val="001E6E6C"/>
    <w:rsid w:val="001E74EA"/>
    <w:rsid w:val="001F01EA"/>
    <w:rsid w:val="001F0323"/>
    <w:rsid w:val="001F1761"/>
    <w:rsid w:val="001F2252"/>
    <w:rsid w:val="001F2A88"/>
    <w:rsid w:val="001F3242"/>
    <w:rsid w:val="001F3A08"/>
    <w:rsid w:val="001F3BB1"/>
    <w:rsid w:val="001F4578"/>
    <w:rsid w:val="001F46A7"/>
    <w:rsid w:val="001F5181"/>
    <w:rsid w:val="001F5996"/>
    <w:rsid w:val="001F6406"/>
    <w:rsid w:val="001F72C1"/>
    <w:rsid w:val="00201E98"/>
    <w:rsid w:val="00201FAF"/>
    <w:rsid w:val="00201FC5"/>
    <w:rsid w:val="00202FFE"/>
    <w:rsid w:val="002037DC"/>
    <w:rsid w:val="00204024"/>
    <w:rsid w:val="002068F7"/>
    <w:rsid w:val="00206C2D"/>
    <w:rsid w:val="00206E46"/>
    <w:rsid w:val="002071E5"/>
    <w:rsid w:val="00211821"/>
    <w:rsid w:val="00211921"/>
    <w:rsid w:val="00211D5A"/>
    <w:rsid w:val="00212615"/>
    <w:rsid w:val="002127BD"/>
    <w:rsid w:val="002127E1"/>
    <w:rsid w:val="00214155"/>
    <w:rsid w:val="002157D5"/>
    <w:rsid w:val="0021618C"/>
    <w:rsid w:val="002176CB"/>
    <w:rsid w:val="00217D95"/>
    <w:rsid w:val="00220E5E"/>
    <w:rsid w:val="002210AA"/>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379BA"/>
    <w:rsid w:val="002409ED"/>
    <w:rsid w:val="002414EE"/>
    <w:rsid w:val="00241571"/>
    <w:rsid w:val="00241980"/>
    <w:rsid w:val="00242B5E"/>
    <w:rsid w:val="0024311D"/>
    <w:rsid w:val="0024363B"/>
    <w:rsid w:val="00244A46"/>
    <w:rsid w:val="00246B00"/>
    <w:rsid w:val="00246FCE"/>
    <w:rsid w:val="00250A19"/>
    <w:rsid w:val="00251516"/>
    <w:rsid w:val="00252214"/>
    <w:rsid w:val="00252734"/>
    <w:rsid w:val="00252EFC"/>
    <w:rsid w:val="00253FFC"/>
    <w:rsid w:val="002546E8"/>
    <w:rsid w:val="00254B62"/>
    <w:rsid w:val="00254B74"/>
    <w:rsid w:val="002554AD"/>
    <w:rsid w:val="002557DB"/>
    <w:rsid w:val="002559DB"/>
    <w:rsid w:val="002623FA"/>
    <w:rsid w:val="00264714"/>
    <w:rsid w:val="00264C75"/>
    <w:rsid w:val="002651ED"/>
    <w:rsid w:val="0027054D"/>
    <w:rsid w:val="00271E21"/>
    <w:rsid w:val="00272A3F"/>
    <w:rsid w:val="002749E5"/>
    <w:rsid w:val="00280433"/>
    <w:rsid w:val="00281A49"/>
    <w:rsid w:val="002827B1"/>
    <w:rsid w:val="00283059"/>
    <w:rsid w:val="00283A4F"/>
    <w:rsid w:val="00284128"/>
    <w:rsid w:val="00285976"/>
    <w:rsid w:val="00285994"/>
    <w:rsid w:val="002879E5"/>
    <w:rsid w:val="00287F3F"/>
    <w:rsid w:val="00290268"/>
    <w:rsid w:val="0029047E"/>
    <w:rsid w:val="00292DA5"/>
    <w:rsid w:val="00292F13"/>
    <w:rsid w:val="0029466A"/>
    <w:rsid w:val="0029469B"/>
    <w:rsid w:val="00294B09"/>
    <w:rsid w:val="0029570B"/>
    <w:rsid w:val="00295971"/>
    <w:rsid w:val="002A059C"/>
    <w:rsid w:val="002A0815"/>
    <w:rsid w:val="002A1E49"/>
    <w:rsid w:val="002A3E12"/>
    <w:rsid w:val="002A42E2"/>
    <w:rsid w:val="002A5488"/>
    <w:rsid w:val="002A55CE"/>
    <w:rsid w:val="002A60AD"/>
    <w:rsid w:val="002A679B"/>
    <w:rsid w:val="002A77F6"/>
    <w:rsid w:val="002B0B4B"/>
    <w:rsid w:val="002B3F41"/>
    <w:rsid w:val="002B4260"/>
    <w:rsid w:val="002B4623"/>
    <w:rsid w:val="002B4A5B"/>
    <w:rsid w:val="002B4BFF"/>
    <w:rsid w:val="002B50BB"/>
    <w:rsid w:val="002B5306"/>
    <w:rsid w:val="002B6748"/>
    <w:rsid w:val="002B6E28"/>
    <w:rsid w:val="002B74FC"/>
    <w:rsid w:val="002C003C"/>
    <w:rsid w:val="002C08CE"/>
    <w:rsid w:val="002C0EE1"/>
    <w:rsid w:val="002C1862"/>
    <w:rsid w:val="002C3A0E"/>
    <w:rsid w:val="002C4D5E"/>
    <w:rsid w:val="002D0565"/>
    <w:rsid w:val="002D12D9"/>
    <w:rsid w:val="002D1E55"/>
    <w:rsid w:val="002D24D0"/>
    <w:rsid w:val="002D293F"/>
    <w:rsid w:val="002D2CA5"/>
    <w:rsid w:val="002D3390"/>
    <w:rsid w:val="002D3C75"/>
    <w:rsid w:val="002D3CCF"/>
    <w:rsid w:val="002D3D84"/>
    <w:rsid w:val="002D40CB"/>
    <w:rsid w:val="002D45E1"/>
    <w:rsid w:val="002D5E60"/>
    <w:rsid w:val="002D6E8E"/>
    <w:rsid w:val="002D7951"/>
    <w:rsid w:val="002E1513"/>
    <w:rsid w:val="002E1544"/>
    <w:rsid w:val="002E2726"/>
    <w:rsid w:val="002E2A41"/>
    <w:rsid w:val="002E3CDF"/>
    <w:rsid w:val="002E4D56"/>
    <w:rsid w:val="002E61C2"/>
    <w:rsid w:val="002E6500"/>
    <w:rsid w:val="002E7049"/>
    <w:rsid w:val="002E7C9B"/>
    <w:rsid w:val="002F208E"/>
    <w:rsid w:val="002F4A4E"/>
    <w:rsid w:val="002F51C4"/>
    <w:rsid w:val="002F64BF"/>
    <w:rsid w:val="002F7626"/>
    <w:rsid w:val="002F7864"/>
    <w:rsid w:val="00300ED0"/>
    <w:rsid w:val="0030126D"/>
    <w:rsid w:val="003035B4"/>
    <w:rsid w:val="00303937"/>
    <w:rsid w:val="00303ED4"/>
    <w:rsid w:val="00304B45"/>
    <w:rsid w:val="00305771"/>
    <w:rsid w:val="00307D91"/>
    <w:rsid w:val="00312100"/>
    <w:rsid w:val="0031217B"/>
    <w:rsid w:val="003122B9"/>
    <w:rsid w:val="00312BC8"/>
    <w:rsid w:val="00313E04"/>
    <w:rsid w:val="0031469A"/>
    <w:rsid w:val="00314AF9"/>
    <w:rsid w:val="00314F16"/>
    <w:rsid w:val="0031597F"/>
    <w:rsid w:val="00315E0E"/>
    <w:rsid w:val="0031673D"/>
    <w:rsid w:val="0031678A"/>
    <w:rsid w:val="00316B0D"/>
    <w:rsid w:val="00317685"/>
    <w:rsid w:val="003211F2"/>
    <w:rsid w:val="003212D6"/>
    <w:rsid w:val="003215B5"/>
    <w:rsid w:val="00321AFB"/>
    <w:rsid w:val="003222AC"/>
    <w:rsid w:val="003224EC"/>
    <w:rsid w:val="00322B5D"/>
    <w:rsid w:val="00322BFE"/>
    <w:rsid w:val="003247BD"/>
    <w:rsid w:val="00325F8E"/>
    <w:rsid w:val="00326119"/>
    <w:rsid w:val="003271D0"/>
    <w:rsid w:val="00327608"/>
    <w:rsid w:val="003278C5"/>
    <w:rsid w:val="003301A7"/>
    <w:rsid w:val="00331232"/>
    <w:rsid w:val="00331463"/>
    <w:rsid w:val="003327A4"/>
    <w:rsid w:val="003334C5"/>
    <w:rsid w:val="00334582"/>
    <w:rsid w:val="003348E7"/>
    <w:rsid w:val="00336330"/>
    <w:rsid w:val="003367CA"/>
    <w:rsid w:val="00336803"/>
    <w:rsid w:val="003374F0"/>
    <w:rsid w:val="0033788C"/>
    <w:rsid w:val="00340733"/>
    <w:rsid w:val="0034182C"/>
    <w:rsid w:val="0034183E"/>
    <w:rsid w:val="0034286E"/>
    <w:rsid w:val="00343E11"/>
    <w:rsid w:val="00343F80"/>
    <w:rsid w:val="003440A2"/>
    <w:rsid w:val="003450C7"/>
    <w:rsid w:val="00345765"/>
    <w:rsid w:val="00346784"/>
    <w:rsid w:val="00346842"/>
    <w:rsid w:val="00346EB7"/>
    <w:rsid w:val="00347A04"/>
    <w:rsid w:val="0035022C"/>
    <w:rsid w:val="00350333"/>
    <w:rsid w:val="003507A1"/>
    <w:rsid w:val="00350A34"/>
    <w:rsid w:val="00351854"/>
    <w:rsid w:val="00351F74"/>
    <w:rsid w:val="00352502"/>
    <w:rsid w:val="0035316B"/>
    <w:rsid w:val="0035455A"/>
    <w:rsid w:val="00355755"/>
    <w:rsid w:val="00356DBF"/>
    <w:rsid w:val="00360C68"/>
    <w:rsid w:val="00362B48"/>
    <w:rsid w:val="00362F49"/>
    <w:rsid w:val="00363FDF"/>
    <w:rsid w:val="00364218"/>
    <w:rsid w:val="003646D5"/>
    <w:rsid w:val="00364728"/>
    <w:rsid w:val="003648CD"/>
    <w:rsid w:val="00364A58"/>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57E"/>
    <w:rsid w:val="0039273B"/>
    <w:rsid w:val="003939D2"/>
    <w:rsid w:val="00393B0F"/>
    <w:rsid w:val="00393BCF"/>
    <w:rsid w:val="00393C0B"/>
    <w:rsid w:val="00394FEB"/>
    <w:rsid w:val="003950D0"/>
    <w:rsid w:val="00395995"/>
    <w:rsid w:val="00396DE0"/>
    <w:rsid w:val="003970B6"/>
    <w:rsid w:val="003975A3"/>
    <w:rsid w:val="003A00AC"/>
    <w:rsid w:val="003A0535"/>
    <w:rsid w:val="003A1332"/>
    <w:rsid w:val="003A1C36"/>
    <w:rsid w:val="003A29CC"/>
    <w:rsid w:val="003A3307"/>
    <w:rsid w:val="003A5355"/>
    <w:rsid w:val="003A5C2D"/>
    <w:rsid w:val="003A5D6E"/>
    <w:rsid w:val="003A70B9"/>
    <w:rsid w:val="003A710E"/>
    <w:rsid w:val="003B045B"/>
    <w:rsid w:val="003B2EE2"/>
    <w:rsid w:val="003B2F8D"/>
    <w:rsid w:val="003B47A7"/>
    <w:rsid w:val="003B5995"/>
    <w:rsid w:val="003B69F3"/>
    <w:rsid w:val="003B77C7"/>
    <w:rsid w:val="003B7CE7"/>
    <w:rsid w:val="003B7D1F"/>
    <w:rsid w:val="003C0B0D"/>
    <w:rsid w:val="003C1304"/>
    <w:rsid w:val="003C3B41"/>
    <w:rsid w:val="003C3CCE"/>
    <w:rsid w:val="003C5649"/>
    <w:rsid w:val="003C61F5"/>
    <w:rsid w:val="003C74C8"/>
    <w:rsid w:val="003C7BC5"/>
    <w:rsid w:val="003D021B"/>
    <w:rsid w:val="003D08C9"/>
    <w:rsid w:val="003D1304"/>
    <w:rsid w:val="003D42E2"/>
    <w:rsid w:val="003D467F"/>
    <w:rsid w:val="003D48AF"/>
    <w:rsid w:val="003D59C4"/>
    <w:rsid w:val="003D5B1B"/>
    <w:rsid w:val="003D5D1F"/>
    <w:rsid w:val="003D5E0A"/>
    <w:rsid w:val="003D669F"/>
    <w:rsid w:val="003D7128"/>
    <w:rsid w:val="003D7AAB"/>
    <w:rsid w:val="003D7F2C"/>
    <w:rsid w:val="003E0576"/>
    <w:rsid w:val="003E1ACB"/>
    <w:rsid w:val="003E28F4"/>
    <w:rsid w:val="003E2915"/>
    <w:rsid w:val="003E34ED"/>
    <w:rsid w:val="003E3B5C"/>
    <w:rsid w:val="003E6700"/>
    <w:rsid w:val="003E77C6"/>
    <w:rsid w:val="003E7A77"/>
    <w:rsid w:val="003F027B"/>
    <w:rsid w:val="003F1878"/>
    <w:rsid w:val="003F3036"/>
    <w:rsid w:val="003F34DB"/>
    <w:rsid w:val="003F3B87"/>
    <w:rsid w:val="003F44BB"/>
    <w:rsid w:val="003F57B3"/>
    <w:rsid w:val="003F6482"/>
    <w:rsid w:val="003F67FF"/>
    <w:rsid w:val="00401438"/>
    <w:rsid w:val="00401A4E"/>
    <w:rsid w:val="00402832"/>
    <w:rsid w:val="00402FE1"/>
    <w:rsid w:val="004032E4"/>
    <w:rsid w:val="004059F2"/>
    <w:rsid w:val="004068F9"/>
    <w:rsid w:val="004069EC"/>
    <w:rsid w:val="00406AC0"/>
    <w:rsid w:val="00406B57"/>
    <w:rsid w:val="0040786F"/>
    <w:rsid w:val="00407A8A"/>
    <w:rsid w:val="00407BDA"/>
    <w:rsid w:val="00407F17"/>
    <w:rsid w:val="00407FEA"/>
    <w:rsid w:val="00410186"/>
    <w:rsid w:val="0041109B"/>
    <w:rsid w:val="004121C3"/>
    <w:rsid w:val="00412DB6"/>
    <w:rsid w:val="0041341B"/>
    <w:rsid w:val="00413E0F"/>
    <w:rsid w:val="00414762"/>
    <w:rsid w:val="00414B2D"/>
    <w:rsid w:val="00414FA4"/>
    <w:rsid w:val="0041513F"/>
    <w:rsid w:val="004153C3"/>
    <w:rsid w:val="00416E07"/>
    <w:rsid w:val="00416FC7"/>
    <w:rsid w:val="00417026"/>
    <w:rsid w:val="00420E1D"/>
    <w:rsid w:val="00421253"/>
    <w:rsid w:val="00421450"/>
    <w:rsid w:val="004223C0"/>
    <w:rsid w:val="00422449"/>
    <w:rsid w:val="004224AA"/>
    <w:rsid w:val="004226D5"/>
    <w:rsid w:val="00422878"/>
    <w:rsid w:val="00423957"/>
    <w:rsid w:val="00423C0D"/>
    <w:rsid w:val="00423D02"/>
    <w:rsid w:val="004246FC"/>
    <w:rsid w:val="004249AE"/>
    <w:rsid w:val="004267A6"/>
    <w:rsid w:val="00426CC9"/>
    <w:rsid w:val="00427143"/>
    <w:rsid w:val="004277D7"/>
    <w:rsid w:val="0043003A"/>
    <w:rsid w:val="00430B17"/>
    <w:rsid w:val="00430D3F"/>
    <w:rsid w:val="00431057"/>
    <w:rsid w:val="00431FAC"/>
    <w:rsid w:val="00431FC5"/>
    <w:rsid w:val="00432E7B"/>
    <w:rsid w:val="00434283"/>
    <w:rsid w:val="0043435D"/>
    <w:rsid w:val="004344BC"/>
    <w:rsid w:val="004352D0"/>
    <w:rsid w:val="00436A32"/>
    <w:rsid w:val="0043707A"/>
    <w:rsid w:val="0043726C"/>
    <w:rsid w:val="00437422"/>
    <w:rsid w:val="00437D5E"/>
    <w:rsid w:val="004401EA"/>
    <w:rsid w:val="004412BC"/>
    <w:rsid w:val="004432F7"/>
    <w:rsid w:val="00445BD7"/>
    <w:rsid w:val="00445CBE"/>
    <w:rsid w:val="00445E44"/>
    <w:rsid w:val="00446CF4"/>
    <w:rsid w:val="00447952"/>
    <w:rsid w:val="004479A5"/>
    <w:rsid w:val="00447B32"/>
    <w:rsid w:val="00450E26"/>
    <w:rsid w:val="00450F84"/>
    <w:rsid w:val="00451778"/>
    <w:rsid w:val="004534B3"/>
    <w:rsid w:val="004537DA"/>
    <w:rsid w:val="00455880"/>
    <w:rsid w:val="00455B0D"/>
    <w:rsid w:val="00456005"/>
    <w:rsid w:val="00456552"/>
    <w:rsid w:val="00456865"/>
    <w:rsid w:val="0046098C"/>
    <w:rsid w:val="00460E5F"/>
    <w:rsid w:val="0046108C"/>
    <w:rsid w:val="004610E8"/>
    <w:rsid w:val="00462193"/>
    <w:rsid w:val="00462F39"/>
    <w:rsid w:val="00465901"/>
    <w:rsid w:val="004662CE"/>
    <w:rsid w:val="00466327"/>
    <w:rsid w:val="00466336"/>
    <w:rsid w:val="00467347"/>
    <w:rsid w:val="00467709"/>
    <w:rsid w:val="00467F9A"/>
    <w:rsid w:val="004725B4"/>
    <w:rsid w:val="00473A29"/>
    <w:rsid w:val="00473BBA"/>
    <w:rsid w:val="00475F96"/>
    <w:rsid w:val="004775CD"/>
    <w:rsid w:val="00477EA4"/>
    <w:rsid w:val="004801F5"/>
    <w:rsid w:val="00481A78"/>
    <w:rsid w:val="00481A8C"/>
    <w:rsid w:val="004823A8"/>
    <w:rsid w:val="00484AF8"/>
    <w:rsid w:val="004850A8"/>
    <w:rsid w:val="00486E80"/>
    <w:rsid w:val="00487001"/>
    <w:rsid w:val="004874F4"/>
    <w:rsid w:val="00487F53"/>
    <w:rsid w:val="004910C5"/>
    <w:rsid w:val="00491475"/>
    <w:rsid w:val="00491B2F"/>
    <w:rsid w:val="00492758"/>
    <w:rsid w:val="00492CF5"/>
    <w:rsid w:val="00493C1E"/>
    <w:rsid w:val="00494589"/>
    <w:rsid w:val="004949CD"/>
    <w:rsid w:val="00494A1C"/>
    <w:rsid w:val="00494DC3"/>
    <w:rsid w:val="00495736"/>
    <w:rsid w:val="004958CC"/>
    <w:rsid w:val="004A0E13"/>
    <w:rsid w:val="004A0FC3"/>
    <w:rsid w:val="004A1366"/>
    <w:rsid w:val="004A1EAC"/>
    <w:rsid w:val="004A3922"/>
    <w:rsid w:val="004A4AC4"/>
    <w:rsid w:val="004A6126"/>
    <w:rsid w:val="004A7800"/>
    <w:rsid w:val="004B3914"/>
    <w:rsid w:val="004B3A46"/>
    <w:rsid w:val="004B557A"/>
    <w:rsid w:val="004B6DE1"/>
    <w:rsid w:val="004B7836"/>
    <w:rsid w:val="004C0E19"/>
    <w:rsid w:val="004C2605"/>
    <w:rsid w:val="004C327F"/>
    <w:rsid w:val="004C338C"/>
    <w:rsid w:val="004C5F0C"/>
    <w:rsid w:val="004C5F6D"/>
    <w:rsid w:val="004D1AE2"/>
    <w:rsid w:val="004D2F53"/>
    <w:rsid w:val="004D4E4C"/>
    <w:rsid w:val="004D5A4C"/>
    <w:rsid w:val="004D6166"/>
    <w:rsid w:val="004D69E1"/>
    <w:rsid w:val="004E00AD"/>
    <w:rsid w:val="004E168F"/>
    <w:rsid w:val="004E27E7"/>
    <w:rsid w:val="004E2D6A"/>
    <w:rsid w:val="004E3C13"/>
    <w:rsid w:val="004E4977"/>
    <w:rsid w:val="004E4B50"/>
    <w:rsid w:val="004E6220"/>
    <w:rsid w:val="004F0260"/>
    <w:rsid w:val="004F0DA1"/>
    <w:rsid w:val="004F1C4C"/>
    <w:rsid w:val="004F1DBC"/>
    <w:rsid w:val="004F3A6B"/>
    <w:rsid w:val="004F3FB0"/>
    <w:rsid w:val="004F41A0"/>
    <w:rsid w:val="004F4766"/>
    <w:rsid w:val="004F54ED"/>
    <w:rsid w:val="004F5638"/>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5F"/>
    <w:rsid w:val="00510424"/>
    <w:rsid w:val="00511654"/>
    <w:rsid w:val="00511FAE"/>
    <w:rsid w:val="005120AF"/>
    <w:rsid w:val="00512BFD"/>
    <w:rsid w:val="005133D4"/>
    <w:rsid w:val="00515D05"/>
    <w:rsid w:val="00515E12"/>
    <w:rsid w:val="00516284"/>
    <w:rsid w:val="00516D6D"/>
    <w:rsid w:val="005170AC"/>
    <w:rsid w:val="00517B60"/>
    <w:rsid w:val="00521A58"/>
    <w:rsid w:val="00522FA1"/>
    <w:rsid w:val="00523081"/>
    <w:rsid w:val="005232B2"/>
    <w:rsid w:val="005244CF"/>
    <w:rsid w:val="00524F6E"/>
    <w:rsid w:val="0052530D"/>
    <w:rsid w:val="0052621E"/>
    <w:rsid w:val="005300CD"/>
    <w:rsid w:val="00530773"/>
    <w:rsid w:val="00530BAC"/>
    <w:rsid w:val="00530DCF"/>
    <w:rsid w:val="00530E67"/>
    <w:rsid w:val="00531EE8"/>
    <w:rsid w:val="005326A1"/>
    <w:rsid w:val="00532DE3"/>
    <w:rsid w:val="00533E74"/>
    <w:rsid w:val="00533ED7"/>
    <w:rsid w:val="005341BC"/>
    <w:rsid w:val="00534645"/>
    <w:rsid w:val="00534C38"/>
    <w:rsid w:val="00534C91"/>
    <w:rsid w:val="00535601"/>
    <w:rsid w:val="00535B01"/>
    <w:rsid w:val="00535D29"/>
    <w:rsid w:val="00536FA1"/>
    <w:rsid w:val="0053790E"/>
    <w:rsid w:val="00537947"/>
    <w:rsid w:val="00537D7C"/>
    <w:rsid w:val="00541568"/>
    <w:rsid w:val="00544162"/>
    <w:rsid w:val="00545627"/>
    <w:rsid w:val="005457D6"/>
    <w:rsid w:val="0054585E"/>
    <w:rsid w:val="00546B3B"/>
    <w:rsid w:val="00547161"/>
    <w:rsid w:val="00547FD1"/>
    <w:rsid w:val="0055088E"/>
    <w:rsid w:val="00552571"/>
    <w:rsid w:val="00552BA7"/>
    <w:rsid w:val="00552DDF"/>
    <w:rsid w:val="00553287"/>
    <w:rsid w:val="00553707"/>
    <w:rsid w:val="005537AF"/>
    <w:rsid w:val="00554482"/>
    <w:rsid w:val="00556915"/>
    <w:rsid w:val="0055709C"/>
    <w:rsid w:val="0055730C"/>
    <w:rsid w:val="00557C8D"/>
    <w:rsid w:val="00560492"/>
    <w:rsid w:val="005617E5"/>
    <w:rsid w:val="0056219A"/>
    <w:rsid w:val="005632BF"/>
    <w:rsid w:val="005641BB"/>
    <w:rsid w:val="0056449B"/>
    <w:rsid w:val="00564B0D"/>
    <w:rsid w:val="00564BB1"/>
    <w:rsid w:val="00565160"/>
    <w:rsid w:val="00567F56"/>
    <w:rsid w:val="0057098A"/>
    <w:rsid w:val="00571844"/>
    <w:rsid w:val="00572538"/>
    <w:rsid w:val="005749F0"/>
    <w:rsid w:val="00574CA4"/>
    <w:rsid w:val="0057588D"/>
    <w:rsid w:val="005776CE"/>
    <w:rsid w:val="00580250"/>
    <w:rsid w:val="005811DE"/>
    <w:rsid w:val="00581AA6"/>
    <w:rsid w:val="0058246B"/>
    <w:rsid w:val="005825F7"/>
    <w:rsid w:val="0058372F"/>
    <w:rsid w:val="00583831"/>
    <w:rsid w:val="005840C4"/>
    <w:rsid w:val="00584949"/>
    <w:rsid w:val="00584963"/>
    <w:rsid w:val="00585632"/>
    <w:rsid w:val="00585B04"/>
    <w:rsid w:val="00587B5C"/>
    <w:rsid w:val="005902A7"/>
    <w:rsid w:val="00590C94"/>
    <w:rsid w:val="005913C0"/>
    <w:rsid w:val="00591449"/>
    <w:rsid w:val="00591F38"/>
    <w:rsid w:val="00592186"/>
    <w:rsid w:val="00593642"/>
    <w:rsid w:val="00596AB7"/>
    <w:rsid w:val="0059716A"/>
    <w:rsid w:val="005974F8"/>
    <w:rsid w:val="005A1B4A"/>
    <w:rsid w:val="005A2B04"/>
    <w:rsid w:val="005A44D3"/>
    <w:rsid w:val="005A4DCE"/>
    <w:rsid w:val="005A4E64"/>
    <w:rsid w:val="005A5BD2"/>
    <w:rsid w:val="005A60AC"/>
    <w:rsid w:val="005A60DC"/>
    <w:rsid w:val="005A6E29"/>
    <w:rsid w:val="005A77EE"/>
    <w:rsid w:val="005B0D3C"/>
    <w:rsid w:val="005B4121"/>
    <w:rsid w:val="005B43A0"/>
    <w:rsid w:val="005B47CF"/>
    <w:rsid w:val="005B49B5"/>
    <w:rsid w:val="005B569A"/>
    <w:rsid w:val="005B5E6C"/>
    <w:rsid w:val="005B65CA"/>
    <w:rsid w:val="005B7EA3"/>
    <w:rsid w:val="005B7F92"/>
    <w:rsid w:val="005C0252"/>
    <w:rsid w:val="005C0EEE"/>
    <w:rsid w:val="005C271B"/>
    <w:rsid w:val="005C2C9A"/>
    <w:rsid w:val="005C325A"/>
    <w:rsid w:val="005C4006"/>
    <w:rsid w:val="005C46CB"/>
    <w:rsid w:val="005C472B"/>
    <w:rsid w:val="005C6CEE"/>
    <w:rsid w:val="005C6D9E"/>
    <w:rsid w:val="005C78C1"/>
    <w:rsid w:val="005C7FF8"/>
    <w:rsid w:val="005D0E2E"/>
    <w:rsid w:val="005D1725"/>
    <w:rsid w:val="005D3854"/>
    <w:rsid w:val="005D3C64"/>
    <w:rsid w:val="005D3F7E"/>
    <w:rsid w:val="005D456F"/>
    <w:rsid w:val="005D5B47"/>
    <w:rsid w:val="005D6C91"/>
    <w:rsid w:val="005D72C0"/>
    <w:rsid w:val="005E1F5E"/>
    <w:rsid w:val="005E2C22"/>
    <w:rsid w:val="005E2C70"/>
    <w:rsid w:val="005E2F2B"/>
    <w:rsid w:val="005E493E"/>
    <w:rsid w:val="005E50AB"/>
    <w:rsid w:val="005E5184"/>
    <w:rsid w:val="005E522C"/>
    <w:rsid w:val="005E6BF7"/>
    <w:rsid w:val="005E7812"/>
    <w:rsid w:val="005F015D"/>
    <w:rsid w:val="005F048D"/>
    <w:rsid w:val="005F0D09"/>
    <w:rsid w:val="005F2554"/>
    <w:rsid w:val="005F4680"/>
    <w:rsid w:val="005F4D00"/>
    <w:rsid w:val="005F4F3F"/>
    <w:rsid w:val="005F51CE"/>
    <w:rsid w:val="005F664B"/>
    <w:rsid w:val="005F69B8"/>
    <w:rsid w:val="005F7717"/>
    <w:rsid w:val="00601242"/>
    <w:rsid w:val="006025E5"/>
    <w:rsid w:val="00602D65"/>
    <w:rsid w:val="00602E8F"/>
    <w:rsid w:val="006044E9"/>
    <w:rsid w:val="00604FEE"/>
    <w:rsid w:val="0060520F"/>
    <w:rsid w:val="006067C7"/>
    <w:rsid w:val="0060730C"/>
    <w:rsid w:val="0060799F"/>
    <w:rsid w:val="006119CC"/>
    <w:rsid w:val="0061261C"/>
    <w:rsid w:val="006129DF"/>
    <w:rsid w:val="00612FC9"/>
    <w:rsid w:val="0061380F"/>
    <w:rsid w:val="00613A08"/>
    <w:rsid w:val="00613D83"/>
    <w:rsid w:val="0061411F"/>
    <w:rsid w:val="00614777"/>
    <w:rsid w:val="00616E43"/>
    <w:rsid w:val="006171A7"/>
    <w:rsid w:val="00617D9B"/>
    <w:rsid w:val="00622C2B"/>
    <w:rsid w:val="00622FF5"/>
    <w:rsid w:val="0062332A"/>
    <w:rsid w:val="006253FE"/>
    <w:rsid w:val="00625E07"/>
    <w:rsid w:val="00626538"/>
    <w:rsid w:val="0062715E"/>
    <w:rsid w:val="00630E77"/>
    <w:rsid w:val="0063135A"/>
    <w:rsid w:val="00631DC3"/>
    <w:rsid w:val="006336C2"/>
    <w:rsid w:val="006336EE"/>
    <w:rsid w:val="00635099"/>
    <w:rsid w:val="0063536B"/>
    <w:rsid w:val="00635E62"/>
    <w:rsid w:val="00636998"/>
    <w:rsid w:val="00636E8F"/>
    <w:rsid w:val="0063746B"/>
    <w:rsid w:val="00640358"/>
    <w:rsid w:val="006406D8"/>
    <w:rsid w:val="0064217B"/>
    <w:rsid w:val="00643F46"/>
    <w:rsid w:val="0064553F"/>
    <w:rsid w:val="00646289"/>
    <w:rsid w:val="00646ED1"/>
    <w:rsid w:val="006505F9"/>
    <w:rsid w:val="00650F79"/>
    <w:rsid w:val="00651485"/>
    <w:rsid w:val="00651701"/>
    <w:rsid w:val="0065210E"/>
    <w:rsid w:val="006525F3"/>
    <w:rsid w:val="0065424F"/>
    <w:rsid w:val="006543D6"/>
    <w:rsid w:val="00654FBC"/>
    <w:rsid w:val="00655057"/>
    <w:rsid w:val="00656182"/>
    <w:rsid w:val="00656EBC"/>
    <w:rsid w:val="00660B7E"/>
    <w:rsid w:val="00661A7C"/>
    <w:rsid w:val="00661E65"/>
    <w:rsid w:val="006635C7"/>
    <w:rsid w:val="006636F1"/>
    <w:rsid w:val="00663EDC"/>
    <w:rsid w:val="0066445A"/>
    <w:rsid w:val="00664738"/>
    <w:rsid w:val="00664BA3"/>
    <w:rsid w:val="0066601D"/>
    <w:rsid w:val="006660C3"/>
    <w:rsid w:val="00666C49"/>
    <w:rsid w:val="006676BB"/>
    <w:rsid w:val="00670CA0"/>
    <w:rsid w:val="00671A55"/>
    <w:rsid w:val="00671A90"/>
    <w:rsid w:val="00672217"/>
    <w:rsid w:val="0067312C"/>
    <w:rsid w:val="00675E67"/>
    <w:rsid w:val="00675F1A"/>
    <w:rsid w:val="00677566"/>
    <w:rsid w:val="00680649"/>
    <w:rsid w:val="00683A7B"/>
    <w:rsid w:val="00684C47"/>
    <w:rsid w:val="0068557E"/>
    <w:rsid w:val="00685A2A"/>
    <w:rsid w:val="00685AAA"/>
    <w:rsid w:val="00685F29"/>
    <w:rsid w:val="00686364"/>
    <w:rsid w:val="0068794A"/>
    <w:rsid w:val="00687E04"/>
    <w:rsid w:val="00690D2D"/>
    <w:rsid w:val="006912D4"/>
    <w:rsid w:val="00692DB5"/>
    <w:rsid w:val="00694890"/>
    <w:rsid w:val="00694A7C"/>
    <w:rsid w:val="006950E0"/>
    <w:rsid w:val="00696BF2"/>
    <w:rsid w:val="006A00C7"/>
    <w:rsid w:val="006A1A84"/>
    <w:rsid w:val="006A3115"/>
    <w:rsid w:val="006A374E"/>
    <w:rsid w:val="006A502E"/>
    <w:rsid w:val="006A5795"/>
    <w:rsid w:val="006A5CCC"/>
    <w:rsid w:val="006A79B8"/>
    <w:rsid w:val="006B0179"/>
    <w:rsid w:val="006B0598"/>
    <w:rsid w:val="006B2A66"/>
    <w:rsid w:val="006B316C"/>
    <w:rsid w:val="006B4E9A"/>
    <w:rsid w:val="006B64F0"/>
    <w:rsid w:val="006B7208"/>
    <w:rsid w:val="006B7227"/>
    <w:rsid w:val="006C0E8E"/>
    <w:rsid w:val="006C2631"/>
    <w:rsid w:val="006C27FD"/>
    <w:rsid w:val="006C35CA"/>
    <w:rsid w:val="006C3E11"/>
    <w:rsid w:val="006C3EFA"/>
    <w:rsid w:val="006C4650"/>
    <w:rsid w:val="006C47CF"/>
    <w:rsid w:val="006C525D"/>
    <w:rsid w:val="006C557B"/>
    <w:rsid w:val="006C5B06"/>
    <w:rsid w:val="006C6A50"/>
    <w:rsid w:val="006D06E3"/>
    <w:rsid w:val="006D2500"/>
    <w:rsid w:val="006D41F9"/>
    <w:rsid w:val="006D530A"/>
    <w:rsid w:val="006D5AF9"/>
    <w:rsid w:val="006D6647"/>
    <w:rsid w:val="006D7BD2"/>
    <w:rsid w:val="006E024C"/>
    <w:rsid w:val="006E0FF3"/>
    <w:rsid w:val="006E1605"/>
    <w:rsid w:val="006E2B4F"/>
    <w:rsid w:val="006E3B28"/>
    <w:rsid w:val="006E4505"/>
    <w:rsid w:val="006E454B"/>
    <w:rsid w:val="006E4B4A"/>
    <w:rsid w:val="006E615F"/>
    <w:rsid w:val="006E616C"/>
    <w:rsid w:val="006E6FF0"/>
    <w:rsid w:val="006E7482"/>
    <w:rsid w:val="006F0242"/>
    <w:rsid w:val="006F169C"/>
    <w:rsid w:val="006F1B31"/>
    <w:rsid w:val="006F2707"/>
    <w:rsid w:val="006F4361"/>
    <w:rsid w:val="006F4BC5"/>
    <w:rsid w:val="006F5703"/>
    <w:rsid w:val="006F6C94"/>
    <w:rsid w:val="006F7FF5"/>
    <w:rsid w:val="00700139"/>
    <w:rsid w:val="007007C2"/>
    <w:rsid w:val="00700A4C"/>
    <w:rsid w:val="00702366"/>
    <w:rsid w:val="00703982"/>
    <w:rsid w:val="007039FB"/>
    <w:rsid w:val="00706101"/>
    <w:rsid w:val="00706472"/>
    <w:rsid w:val="00706536"/>
    <w:rsid w:val="0070797E"/>
    <w:rsid w:val="0071022A"/>
    <w:rsid w:val="00711340"/>
    <w:rsid w:val="007131E4"/>
    <w:rsid w:val="0071388E"/>
    <w:rsid w:val="00713AE7"/>
    <w:rsid w:val="00713BD1"/>
    <w:rsid w:val="00714989"/>
    <w:rsid w:val="00714CCC"/>
    <w:rsid w:val="007155BE"/>
    <w:rsid w:val="00715C57"/>
    <w:rsid w:val="00715C70"/>
    <w:rsid w:val="00716957"/>
    <w:rsid w:val="00717CB8"/>
    <w:rsid w:val="00720779"/>
    <w:rsid w:val="00720E78"/>
    <w:rsid w:val="00721283"/>
    <w:rsid w:val="007215A2"/>
    <w:rsid w:val="00722AD8"/>
    <w:rsid w:val="00722DE1"/>
    <w:rsid w:val="00723CA1"/>
    <w:rsid w:val="0072444E"/>
    <w:rsid w:val="00724625"/>
    <w:rsid w:val="00724BE3"/>
    <w:rsid w:val="00724DBD"/>
    <w:rsid w:val="007252BF"/>
    <w:rsid w:val="007258E6"/>
    <w:rsid w:val="00725CD1"/>
    <w:rsid w:val="007260DF"/>
    <w:rsid w:val="00727B71"/>
    <w:rsid w:val="007302BC"/>
    <w:rsid w:val="00731CA1"/>
    <w:rsid w:val="00731D81"/>
    <w:rsid w:val="00732480"/>
    <w:rsid w:val="00732A64"/>
    <w:rsid w:val="00734C2A"/>
    <w:rsid w:val="00734E52"/>
    <w:rsid w:val="007356A8"/>
    <w:rsid w:val="0073591F"/>
    <w:rsid w:val="00735FB7"/>
    <w:rsid w:val="007360F5"/>
    <w:rsid w:val="007365B0"/>
    <w:rsid w:val="00737A0C"/>
    <w:rsid w:val="00740B23"/>
    <w:rsid w:val="007420D2"/>
    <w:rsid w:val="0074287A"/>
    <w:rsid w:val="00742F1B"/>
    <w:rsid w:val="0074337F"/>
    <w:rsid w:val="00743502"/>
    <w:rsid w:val="00744528"/>
    <w:rsid w:val="007452F6"/>
    <w:rsid w:val="007455BE"/>
    <w:rsid w:val="00746253"/>
    <w:rsid w:val="00746BCC"/>
    <w:rsid w:val="007470D0"/>
    <w:rsid w:val="00747488"/>
    <w:rsid w:val="00747F23"/>
    <w:rsid w:val="007510B8"/>
    <w:rsid w:val="00751161"/>
    <w:rsid w:val="00752017"/>
    <w:rsid w:val="0075339E"/>
    <w:rsid w:val="00753519"/>
    <w:rsid w:val="00753E93"/>
    <w:rsid w:val="00754D6E"/>
    <w:rsid w:val="007559F1"/>
    <w:rsid w:val="007566A6"/>
    <w:rsid w:val="0075785E"/>
    <w:rsid w:val="00757CDB"/>
    <w:rsid w:val="007623BC"/>
    <w:rsid w:val="00762733"/>
    <w:rsid w:val="007629CC"/>
    <w:rsid w:val="0076325A"/>
    <w:rsid w:val="00763492"/>
    <w:rsid w:val="007634F9"/>
    <w:rsid w:val="00763B4A"/>
    <w:rsid w:val="00764B7F"/>
    <w:rsid w:val="00764BDD"/>
    <w:rsid w:val="007652DE"/>
    <w:rsid w:val="0076555C"/>
    <w:rsid w:val="0076572A"/>
    <w:rsid w:val="0076577E"/>
    <w:rsid w:val="00765812"/>
    <w:rsid w:val="00767BF8"/>
    <w:rsid w:val="00767E93"/>
    <w:rsid w:val="00770025"/>
    <w:rsid w:val="00770BAF"/>
    <w:rsid w:val="007713D1"/>
    <w:rsid w:val="0077300A"/>
    <w:rsid w:val="007743EF"/>
    <w:rsid w:val="0077521F"/>
    <w:rsid w:val="007759AF"/>
    <w:rsid w:val="00775C28"/>
    <w:rsid w:val="007762C7"/>
    <w:rsid w:val="00777A45"/>
    <w:rsid w:val="00777C69"/>
    <w:rsid w:val="0078149B"/>
    <w:rsid w:val="00783C48"/>
    <w:rsid w:val="0078602D"/>
    <w:rsid w:val="007861DF"/>
    <w:rsid w:val="00786FF7"/>
    <w:rsid w:val="0079207A"/>
    <w:rsid w:val="00793293"/>
    <w:rsid w:val="00794CF6"/>
    <w:rsid w:val="00794E7C"/>
    <w:rsid w:val="007951FB"/>
    <w:rsid w:val="00796871"/>
    <w:rsid w:val="00796F4A"/>
    <w:rsid w:val="007A0A80"/>
    <w:rsid w:val="007A0AE3"/>
    <w:rsid w:val="007A0C2D"/>
    <w:rsid w:val="007A1351"/>
    <w:rsid w:val="007A14D1"/>
    <w:rsid w:val="007A14DD"/>
    <w:rsid w:val="007A1AA8"/>
    <w:rsid w:val="007A1FB0"/>
    <w:rsid w:val="007A2152"/>
    <w:rsid w:val="007A3353"/>
    <w:rsid w:val="007A4075"/>
    <w:rsid w:val="007A61D0"/>
    <w:rsid w:val="007A694B"/>
    <w:rsid w:val="007A7028"/>
    <w:rsid w:val="007A74C4"/>
    <w:rsid w:val="007A7EC6"/>
    <w:rsid w:val="007B0187"/>
    <w:rsid w:val="007B02FF"/>
    <w:rsid w:val="007B14C4"/>
    <w:rsid w:val="007B22E2"/>
    <w:rsid w:val="007B2C2B"/>
    <w:rsid w:val="007B3ACC"/>
    <w:rsid w:val="007B3B3B"/>
    <w:rsid w:val="007B4F65"/>
    <w:rsid w:val="007B53AE"/>
    <w:rsid w:val="007B5680"/>
    <w:rsid w:val="007B5C6C"/>
    <w:rsid w:val="007B623B"/>
    <w:rsid w:val="007B6675"/>
    <w:rsid w:val="007B7230"/>
    <w:rsid w:val="007B74DF"/>
    <w:rsid w:val="007C01F2"/>
    <w:rsid w:val="007C0EEB"/>
    <w:rsid w:val="007C0F8D"/>
    <w:rsid w:val="007C11E0"/>
    <w:rsid w:val="007C1294"/>
    <w:rsid w:val="007C20C6"/>
    <w:rsid w:val="007C23CF"/>
    <w:rsid w:val="007C240B"/>
    <w:rsid w:val="007C2BC7"/>
    <w:rsid w:val="007C3153"/>
    <w:rsid w:val="007C3C38"/>
    <w:rsid w:val="007C4585"/>
    <w:rsid w:val="007C691A"/>
    <w:rsid w:val="007C70C7"/>
    <w:rsid w:val="007D26A3"/>
    <w:rsid w:val="007D3B10"/>
    <w:rsid w:val="007D44E6"/>
    <w:rsid w:val="007D4B1D"/>
    <w:rsid w:val="007D5470"/>
    <w:rsid w:val="007D6483"/>
    <w:rsid w:val="007D6706"/>
    <w:rsid w:val="007D75FC"/>
    <w:rsid w:val="007D7E09"/>
    <w:rsid w:val="007E124F"/>
    <w:rsid w:val="007E1573"/>
    <w:rsid w:val="007E1949"/>
    <w:rsid w:val="007E1971"/>
    <w:rsid w:val="007E2891"/>
    <w:rsid w:val="007E2E6D"/>
    <w:rsid w:val="007E3753"/>
    <w:rsid w:val="007E3B53"/>
    <w:rsid w:val="007E3FFD"/>
    <w:rsid w:val="007E46B1"/>
    <w:rsid w:val="007E538E"/>
    <w:rsid w:val="007E5AD0"/>
    <w:rsid w:val="007E6FB7"/>
    <w:rsid w:val="007E703B"/>
    <w:rsid w:val="007E7EF2"/>
    <w:rsid w:val="007F3E13"/>
    <w:rsid w:val="007F3E6E"/>
    <w:rsid w:val="007F443B"/>
    <w:rsid w:val="007F55AA"/>
    <w:rsid w:val="007F5744"/>
    <w:rsid w:val="007F58FB"/>
    <w:rsid w:val="007F5F30"/>
    <w:rsid w:val="007F66F2"/>
    <w:rsid w:val="007F72B7"/>
    <w:rsid w:val="007F75AA"/>
    <w:rsid w:val="007F7CAF"/>
    <w:rsid w:val="007F7F9A"/>
    <w:rsid w:val="008001D2"/>
    <w:rsid w:val="00801844"/>
    <w:rsid w:val="00801920"/>
    <w:rsid w:val="00801EE1"/>
    <w:rsid w:val="00801F17"/>
    <w:rsid w:val="0080245B"/>
    <w:rsid w:val="00802DBE"/>
    <w:rsid w:val="00802F34"/>
    <w:rsid w:val="008032A0"/>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7980"/>
    <w:rsid w:val="00817B5B"/>
    <w:rsid w:val="008208E0"/>
    <w:rsid w:val="008230F0"/>
    <w:rsid w:val="0082543B"/>
    <w:rsid w:val="00825D3E"/>
    <w:rsid w:val="00826D8B"/>
    <w:rsid w:val="0083089B"/>
    <w:rsid w:val="00831769"/>
    <w:rsid w:val="00831F89"/>
    <w:rsid w:val="00832583"/>
    <w:rsid w:val="00832B52"/>
    <w:rsid w:val="008344EF"/>
    <w:rsid w:val="0083669E"/>
    <w:rsid w:val="00836A46"/>
    <w:rsid w:val="00837031"/>
    <w:rsid w:val="0083724A"/>
    <w:rsid w:val="0084008D"/>
    <w:rsid w:val="0084100B"/>
    <w:rsid w:val="0084145B"/>
    <w:rsid w:val="008415D9"/>
    <w:rsid w:val="008419A2"/>
    <w:rsid w:val="00843382"/>
    <w:rsid w:val="00843B5A"/>
    <w:rsid w:val="0084424F"/>
    <w:rsid w:val="00844C69"/>
    <w:rsid w:val="00844EAD"/>
    <w:rsid w:val="0084609F"/>
    <w:rsid w:val="008475D3"/>
    <w:rsid w:val="00851617"/>
    <w:rsid w:val="00851A74"/>
    <w:rsid w:val="00851D50"/>
    <w:rsid w:val="008524C9"/>
    <w:rsid w:val="0085343B"/>
    <w:rsid w:val="00853D40"/>
    <w:rsid w:val="008547C5"/>
    <w:rsid w:val="00854E81"/>
    <w:rsid w:val="008556D7"/>
    <w:rsid w:val="00856B8A"/>
    <w:rsid w:val="0085776B"/>
    <w:rsid w:val="00861A11"/>
    <w:rsid w:val="008620EC"/>
    <w:rsid w:val="00862281"/>
    <w:rsid w:val="00862416"/>
    <w:rsid w:val="00862CC3"/>
    <w:rsid w:val="00863453"/>
    <w:rsid w:val="0086464C"/>
    <w:rsid w:val="008700E8"/>
    <w:rsid w:val="00872243"/>
    <w:rsid w:val="008722B8"/>
    <w:rsid w:val="00872945"/>
    <w:rsid w:val="00872BFA"/>
    <w:rsid w:val="00873ABB"/>
    <w:rsid w:val="00873C0A"/>
    <w:rsid w:val="00873E2E"/>
    <w:rsid w:val="0087550C"/>
    <w:rsid w:val="00877AF9"/>
    <w:rsid w:val="00877CA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2A9"/>
    <w:rsid w:val="0089594B"/>
    <w:rsid w:val="00896361"/>
    <w:rsid w:val="008964B6"/>
    <w:rsid w:val="008964D6"/>
    <w:rsid w:val="00897B3B"/>
    <w:rsid w:val="008A1247"/>
    <w:rsid w:val="008A1E8B"/>
    <w:rsid w:val="008A20EA"/>
    <w:rsid w:val="008A2170"/>
    <w:rsid w:val="008A3307"/>
    <w:rsid w:val="008A3657"/>
    <w:rsid w:val="008A37DA"/>
    <w:rsid w:val="008A3A17"/>
    <w:rsid w:val="008A495C"/>
    <w:rsid w:val="008A49BF"/>
    <w:rsid w:val="008A4E94"/>
    <w:rsid w:val="008A57A0"/>
    <w:rsid w:val="008A58CB"/>
    <w:rsid w:val="008A5DF3"/>
    <w:rsid w:val="008A6232"/>
    <w:rsid w:val="008A6BE4"/>
    <w:rsid w:val="008A6F4C"/>
    <w:rsid w:val="008A7EF4"/>
    <w:rsid w:val="008B0BAC"/>
    <w:rsid w:val="008B112E"/>
    <w:rsid w:val="008B1655"/>
    <w:rsid w:val="008B206B"/>
    <w:rsid w:val="008B276E"/>
    <w:rsid w:val="008B3EE8"/>
    <w:rsid w:val="008B46E2"/>
    <w:rsid w:val="008B75C8"/>
    <w:rsid w:val="008C1DB4"/>
    <w:rsid w:val="008C3BA2"/>
    <w:rsid w:val="008C3BC5"/>
    <w:rsid w:val="008C3E79"/>
    <w:rsid w:val="008C4DE5"/>
    <w:rsid w:val="008C5086"/>
    <w:rsid w:val="008C5BEE"/>
    <w:rsid w:val="008C662E"/>
    <w:rsid w:val="008C7FDD"/>
    <w:rsid w:val="008D03E1"/>
    <w:rsid w:val="008D0958"/>
    <w:rsid w:val="008D0A8B"/>
    <w:rsid w:val="008D0FDF"/>
    <w:rsid w:val="008D2A29"/>
    <w:rsid w:val="008D2C0D"/>
    <w:rsid w:val="008D2DBA"/>
    <w:rsid w:val="008D3A1E"/>
    <w:rsid w:val="008D3E9E"/>
    <w:rsid w:val="008D40EB"/>
    <w:rsid w:val="008D4E68"/>
    <w:rsid w:val="008D5A0F"/>
    <w:rsid w:val="008D5E94"/>
    <w:rsid w:val="008D69E8"/>
    <w:rsid w:val="008D703A"/>
    <w:rsid w:val="008D706A"/>
    <w:rsid w:val="008E04E0"/>
    <w:rsid w:val="008E0CDD"/>
    <w:rsid w:val="008E1265"/>
    <w:rsid w:val="008E2402"/>
    <w:rsid w:val="008E28F7"/>
    <w:rsid w:val="008E2A33"/>
    <w:rsid w:val="008E3B56"/>
    <w:rsid w:val="008E4A26"/>
    <w:rsid w:val="008E4AD6"/>
    <w:rsid w:val="008E55E4"/>
    <w:rsid w:val="008E5700"/>
    <w:rsid w:val="008E6B9F"/>
    <w:rsid w:val="008F003D"/>
    <w:rsid w:val="008F00AC"/>
    <w:rsid w:val="008F018C"/>
    <w:rsid w:val="008F1304"/>
    <w:rsid w:val="008F37CD"/>
    <w:rsid w:val="008F5DF4"/>
    <w:rsid w:val="008F6AA2"/>
    <w:rsid w:val="008F6E21"/>
    <w:rsid w:val="008F7334"/>
    <w:rsid w:val="008F7638"/>
    <w:rsid w:val="008F7D0F"/>
    <w:rsid w:val="008F7D83"/>
    <w:rsid w:val="008F7FBF"/>
    <w:rsid w:val="00900868"/>
    <w:rsid w:val="00901E7A"/>
    <w:rsid w:val="0090413C"/>
    <w:rsid w:val="009043D3"/>
    <w:rsid w:val="0090469C"/>
    <w:rsid w:val="009049AF"/>
    <w:rsid w:val="009054E0"/>
    <w:rsid w:val="009078FD"/>
    <w:rsid w:val="00911ADB"/>
    <w:rsid w:val="00912786"/>
    <w:rsid w:val="009137CF"/>
    <w:rsid w:val="00914A29"/>
    <w:rsid w:val="00915AF2"/>
    <w:rsid w:val="0091668C"/>
    <w:rsid w:val="009169B8"/>
    <w:rsid w:val="00917303"/>
    <w:rsid w:val="00917473"/>
    <w:rsid w:val="00917F45"/>
    <w:rsid w:val="0092132D"/>
    <w:rsid w:val="0092241C"/>
    <w:rsid w:val="00924214"/>
    <w:rsid w:val="00924280"/>
    <w:rsid w:val="0092536C"/>
    <w:rsid w:val="00926A94"/>
    <w:rsid w:val="00927D10"/>
    <w:rsid w:val="0093098D"/>
    <w:rsid w:val="00930BCA"/>
    <w:rsid w:val="00931BD8"/>
    <w:rsid w:val="0093306C"/>
    <w:rsid w:val="00933237"/>
    <w:rsid w:val="009352EF"/>
    <w:rsid w:val="00936425"/>
    <w:rsid w:val="0093753C"/>
    <w:rsid w:val="0093782A"/>
    <w:rsid w:val="00937E50"/>
    <w:rsid w:val="00937F64"/>
    <w:rsid w:val="00941C30"/>
    <w:rsid w:val="00942477"/>
    <w:rsid w:val="0094289F"/>
    <w:rsid w:val="00943363"/>
    <w:rsid w:val="00943DD7"/>
    <w:rsid w:val="00945239"/>
    <w:rsid w:val="0094537B"/>
    <w:rsid w:val="0094566B"/>
    <w:rsid w:val="00945AF4"/>
    <w:rsid w:val="009463E0"/>
    <w:rsid w:val="00946973"/>
    <w:rsid w:val="009472F4"/>
    <w:rsid w:val="009475B3"/>
    <w:rsid w:val="00947F11"/>
    <w:rsid w:val="009502D1"/>
    <w:rsid w:val="009502F0"/>
    <w:rsid w:val="009524F5"/>
    <w:rsid w:val="009525BA"/>
    <w:rsid w:val="0095416E"/>
    <w:rsid w:val="00954C24"/>
    <w:rsid w:val="00954F72"/>
    <w:rsid w:val="00955E54"/>
    <w:rsid w:val="00956142"/>
    <w:rsid w:val="009563BD"/>
    <w:rsid w:val="009566F2"/>
    <w:rsid w:val="0096122A"/>
    <w:rsid w:val="00962155"/>
    <w:rsid w:val="00962D67"/>
    <w:rsid w:val="00963F54"/>
    <w:rsid w:val="00964722"/>
    <w:rsid w:val="009647E6"/>
    <w:rsid w:val="009649EF"/>
    <w:rsid w:val="00965132"/>
    <w:rsid w:val="0096544E"/>
    <w:rsid w:val="009658C5"/>
    <w:rsid w:val="009660F8"/>
    <w:rsid w:val="00966B47"/>
    <w:rsid w:val="00966F3A"/>
    <w:rsid w:val="009671C3"/>
    <w:rsid w:val="00967373"/>
    <w:rsid w:val="00967F85"/>
    <w:rsid w:val="00970EE5"/>
    <w:rsid w:val="00971110"/>
    <w:rsid w:val="0097228C"/>
    <w:rsid w:val="0097257F"/>
    <w:rsid w:val="0097353F"/>
    <w:rsid w:val="0097359C"/>
    <w:rsid w:val="00973A48"/>
    <w:rsid w:val="0097473C"/>
    <w:rsid w:val="00974BB5"/>
    <w:rsid w:val="00975808"/>
    <w:rsid w:val="0097583C"/>
    <w:rsid w:val="009778BF"/>
    <w:rsid w:val="00980935"/>
    <w:rsid w:val="00980CC0"/>
    <w:rsid w:val="0098131C"/>
    <w:rsid w:val="009838B8"/>
    <w:rsid w:val="009850D1"/>
    <w:rsid w:val="0098573A"/>
    <w:rsid w:val="009859FA"/>
    <w:rsid w:val="00986ED1"/>
    <w:rsid w:val="00987B5B"/>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1EE9"/>
    <w:rsid w:val="009A2E84"/>
    <w:rsid w:val="009A3B53"/>
    <w:rsid w:val="009A4D40"/>
    <w:rsid w:val="009A661A"/>
    <w:rsid w:val="009A72D6"/>
    <w:rsid w:val="009A7DF6"/>
    <w:rsid w:val="009B1608"/>
    <w:rsid w:val="009B1929"/>
    <w:rsid w:val="009B2E86"/>
    <w:rsid w:val="009B5CF4"/>
    <w:rsid w:val="009B632B"/>
    <w:rsid w:val="009B6791"/>
    <w:rsid w:val="009B6B19"/>
    <w:rsid w:val="009B7769"/>
    <w:rsid w:val="009B77FC"/>
    <w:rsid w:val="009C0C25"/>
    <w:rsid w:val="009C11B5"/>
    <w:rsid w:val="009C1965"/>
    <w:rsid w:val="009C1E1D"/>
    <w:rsid w:val="009C5176"/>
    <w:rsid w:val="009C5D90"/>
    <w:rsid w:val="009C75E7"/>
    <w:rsid w:val="009C7617"/>
    <w:rsid w:val="009C7896"/>
    <w:rsid w:val="009D046B"/>
    <w:rsid w:val="009D0A51"/>
    <w:rsid w:val="009D0A8C"/>
    <w:rsid w:val="009D1F95"/>
    <w:rsid w:val="009D27F4"/>
    <w:rsid w:val="009D2DFC"/>
    <w:rsid w:val="009D33BA"/>
    <w:rsid w:val="009D49BC"/>
    <w:rsid w:val="009D6CB0"/>
    <w:rsid w:val="009D7582"/>
    <w:rsid w:val="009D7E95"/>
    <w:rsid w:val="009E0146"/>
    <w:rsid w:val="009E03FF"/>
    <w:rsid w:val="009E0621"/>
    <w:rsid w:val="009E260B"/>
    <w:rsid w:val="009E2747"/>
    <w:rsid w:val="009E2FD9"/>
    <w:rsid w:val="009E3446"/>
    <w:rsid w:val="009E448C"/>
    <w:rsid w:val="009E4563"/>
    <w:rsid w:val="009E4ED9"/>
    <w:rsid w:val="009E5409"/>
    <w:rsid w:val="009E610E"/>
    <w:rsid w:val="009E651C"/>
    <w:rsid w:val="009E6EB0"/>
    <w:rsid w:val="009E72BB"/>
    <w:rsid w:val="009F110A"/>
    <w:rsid w:val="009F151D"/>
    <w:rsid w:val="009F1F01"/>
    <w:rsid w:val="009F2E93"/>
    <w:rsid w:val="009F320F"/>
    <w:rsid w:val="009F371F"/>
    <w:rsid w:val="009F38AF"/>
    <w:rsid w:val="009F3D19"/>
    <w:rsid w:val="009F422F"/>
    <w:rsid w:val="009F56DA"/>
    <w:rsid w:val="009F5955"/>
    <w:rsid w:val="009F720F"/>
    <w:rsid w:val="009F793A"/>
    <w:rsid w:val="009F7BBF"/>
    <w:rsid w:val="00A007AC"/>
    <w:rsid w:val="00A00EF0"/>
    <w:rsid w:val="00A03A53"/>
    <w:rsid w:val="00A040B0"/>
    <w:rsid w:val="00A04682"/>
    <w:rsid w:val="00A0494E"/>
    <w:rsid w:val="00A05291"/>
    <w:rsid w:val="00A059C7"/>
    <w:rsid w:val="00A05DF0"/>
    <w:rsid w:val="00A0666C"/>
    <w:rsid w:val="00A07407"/>
    <w:rsid w:val="00A101E4"/>
    <w:rsid w:val="00A108AA"/>
    <w:rsid w:val="00A109F2"/>
    <w:rsid w:val="00A11B4A"/>
    <w:rsid w:val="00A12BB6"/>
    <w:rsid w:val="00A14B4F"/>
    <w:rsid w:val="00A15699"/>
    <w:rsid w:val="00A1622F"/>
    <w:rsid w:val="00A1692D"/>
    <w:rsid w:val="00A16970"/>
    <w:rsid w:val="00A16DF0"/>
    <w:rsid w:val="00A16E62"/>
    <w:rsid w:val="00A17300"/>
    <w:rsid w:val="00A17FDD"/>
    <w:rsid w:val="00A201FA"/>
    <w:rsid w:val="00A21B30"/>
    <w:rsid w:val="00A23F15"/>
    <w:rsid w:val="00A24B52"/>
    <w:rsid w:val="00A25288"/>
    <w:rsid w:val="00A25558"/>
    <w:rsid w:val="00A25A32"/>
    <w:rsid w:val="00A25FBE"/>
    <w:rsid w:val="00A26016"/>
    <w:rsid w:val="00A2688B"/>
    <w:rsid w:val="00A26D8E"/>
    <w:rsid w:val="00A26DF2"/>
    <w:rsid w:val="00A31678"/>
    <w:rsid w:val="00A319AF"/>
    <w:rsid w:val="00A322EF"/>
    <w:rsid w:val="00A3366E"/>
    <w:rsid w:val="00A33DBC"/>
    <w:rsid w:val="00A34250"/>
    <w:rsid w:val="00A362DA"/>
    <w:rsid w:val="00A378E7"/>
    <w:rsid w:val="00A37B31"/>
    <w:rsid w:val="00A415B6"/>
    <w:rsid w:val="00A426A2"/>
    <w:rsid w:val="00A434AF"/>
    <w:rsid w:val="00A4387A"/>
    <w:rsid w:val="00A4493E"/>
    <w:rsid w:val="00A45C80"/>
    <w:rsid w:val="00A4633B"/>
    <w:rsid w:val="00A474A4"/>
    <w:rsid w:val="00A47533"/>
    <w:rsid w:val="00A4783D"/>
    <w:rsid w:val="00A50FD0"/>
    <w:rsid w:val="00A511F3"/>
    <w:rsid w:val="00A5125D"/>
    <w:rsid w:val="00A523BC"/>
    <w:rsid w:val="00A52F76"/>
    <w:rsid w:val="00A543B5"/>
    <w:rsid w:val="00A5467F"/>
    <w:rsid w:val="00A546BA"/>
    <w:rsid w:val="00A54F3A"/>
    <w:rsid w:val="00A54F44"/>
    <w:rsid w:val="00A5735A"/>
    <w:rsid w:val="00A57CE0"/>
    <w:rsid w:val="00A57E18"/>
    <w:rsid w:val="00A60B1F"/>
    <w:rsid w:val="00A60D2B"/>
    <w:rsid w:val="00A61E44"/>
    <w:rsid w:val="00A64B8A"/>
    <w:rsid w:val="00A657C7"/>
    <w:rsid w:val="00A66D80"/>
    <w:rsid w:val="00A67E37"/>
    <w:rsid w:val="00A71933"/>
    <w:rsid w:val="00A7197D"/>
    <w:rsid w:val="00A720AE"/>
    <w:rsid w:val="00A735DF"/>
    <w:rsid w:val="00A735F4"/>
    <w:rsid w:val="00A749D2"/>
    <w:rsid w:val="00A74A4B"/>
    <w:rsid w:val="00A74B7D"/>
    <w:rsid w:val="00A76AA4"/>
    <w:rsid w:val="00A80DE2"/>
    <w:rsid w:val="00A81447"/>
    <w:rsid w:val="00A818FB"/>
    <w:rsid w:val="00A81987"/>
    <w:rsid w:val="00A81C73"/>
    <w:rsid w:val="00A82468"/>
    <w:rsid w:val="00A82539"/>
    <w:rsid w:val="00A82A6E"/>
    <w:rsid w:val="00A845DC"/>
    <w:rsid w:val="00A84DBD"/>
    <w:rsid w:val="00A85A04"/>
    <w:rsid w:val="00A87D79"/>
    <w:rsid w:val="00A87EDD"/>
    <w:rsid w:val="00A900CC"/>
    <w:rsid w:val="00A900D9"/>
    <w:rsid w:val="00A918E6"/>
    <w:rsid w:val="00A91AF9"/>
    <w:rsid w:val="00A922A5"/>
    <w:rsid w:val="00A9296C"/>
    <w:rsid w:val="00A930C0"/>
    <w:rsid w:val="00A94EA0"/>
    <w:rsid w:val="00A95579"/>
    <w:rsid w:val="00A97122"/>
    <w:rsid w:val="00A97255"/>
    <w:rsid w:val="00AA0AF7"/>
    <w:rsid w:val="00AA0D5F"/>
    <w:rsid w:val="00AA10A7"/>
    <w:rsid w:val="00AA172E"/>
    <w:rsid w:val="00AA1A57"/>
    <w:rsid w:val="00AA1EBA"/>
    <w:rsid w:val="00AA27B6"/>
    <w:rsid w:val="00AA2E4C"/>
    <w:rsid w:val="00AA5AE5"/>
    <w:rsid w:val="00AA6553"/>
    <w:rsid w:val="00AA68EC"/>
    <w:rsid w:val="00AA6DA8"/>
    <w:rsid w:val="00AA7D1A"/>
    <w:rsid w:val="00AB10A8"/>
    <w:rsid w:val="00AB1D1C"/>
    <w:rsid w:val="00AB1E4A"/>
    <w:rsid w:val="00AB264A"/>
    <w:rsid w:val="00AB3010"/>
    <w:rsid w:val="00AC215C"/>
    <w:rsid w:val="00AC379B"/>
    <w:rsid w:val="00AC384B"/>
    <w:rsid w:val="00AC3F5F"/>
    <w:rsid w:val="00AC5183"/>
    <w:rsid w:val="00AC69B1"/>
    <w:rsid w:val="00AC6CA4"/>
    <w:rsid w:val="00AC6ED0"/>
    <w:rsid w:val="00AC7385"/>
    <w:rsid w:val="00AC73F8"/>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AAE"/>
    <w:rsid w:val="00AE0D2E"/>
    <w:rsid w:val="00AE1BCA"/>
    <w:rsid w:val="00AE2166"/>
    <w:rsid w:val="00AE27A8"/>
    <w:rsid w:val="00AE3206"/>
    <w:rsid w:val="00AE36C8"/>
    <w:rsid w:val="00AE380E"/>
    <w:rsid w:val="00AE401A"/>
    <w:rsid w:val="00AE4183"/>
    <w:rsid w:val="00AE44D9"/>
    <w:rsid w:val="00AE4B14"/>
    <w:rsid w:val="00AE5CF8"/>
    <w:rsid w:val="00AE6206"/>
    <w:rsid w:val="00AE73EA"/>
    <w:rsid w:val="00AE7F98"/>
    <w:rsid w:val="00AF0017"/>
    <w:rsid w:val="00AF0073"/>
    <w:rsid w:val="00AF0127"/>
    <w:rsid w:val="00AF1097"/>
    <w:rsid w:val="00AF123B"/>
    <w:rsid w:val="00AF1732"/>
    <w:rsid w:val="00AF1CFF"/>
    <w:rsid w:val="00AF289C"/>
    <w:rsid w:val="00AF311A"/>
    <w:rsid w:val="00AF3787"/>
    <w:rsid w:val="00AF4BCA"/>
    <w:rsid w:val="00AF4C83"/>
    <w:rsid w:val="00B001C1"/>
    <w:rsid w:val="00B00552"/>
    <w:rsid w:val="00B00C27"/>
    <w:rsid w:val="00B01F36"/>
    <w:rsid w:val="00B02051"/>
    <w:rsid w:val="00B02323"/>
    <w:rsid w:val="00B02B0A"/>
    <w:rsid w:val="00B03364"/>
    <w:rsid w:val="00B036D6"/>
    <w:rsid w:val="00B044EA"/>
    <w:rsid w:val="00B048C9"/>
    <w:rsid w:val="00B06EAF"/>
    <w:rsid w:val="00B06F8A"/>
    <w:rsid w:val="00B071FD"/>
    <w:rsid w:val="00B07C17"/>
    <w:rsid w:val="00B07C85"/>
    <w:rsid w:val="00B10D53"/>
    <w:rsid w:val="00B12DC7"/>
    <w:rsid w:val="00B13D6F"/>
    <w:rsid w:val="00B141D9"/>
    <w:rsid w:val="00B142B8"/>
    <w:rsid w:val="00B1454B"/>
    <w:rsid w:val="00B151B9"/>
    <w:rsid w:val="00B1522B"/>
    <w:rsid w:val="00B165F8"/>
    <w:rsid w:val="00B21509"/>
    <w:rsid w:val="00B21EE5"/>
    <w:rsid w:val="00B2296F"/>
    <w:rsid w:val="00B2320A"/>
    <w:rsid w:val="00B237C1"/>
    <w:rsid w:val="00B240A7"/>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A57"/>
    <w:rsid w:val="00B44F2F"/>
    <w:rsid w:val="00B45124"/>
    <w:rsid w:val="00B45ED9"/>
    <w:rsid w:val="00B464A9"/>
    <w:rsid w:val="00B474B6"/>
    <w:rsid w:val="00B47643"/>
    <w:rsid w:val="00B50510"/>
    <w:rsid w:val="00B518A6"/>
    <w:rsid w:val="00B51B0D"/>
    <w:rsid w:val="00B51F96"/>
    <w:rsid w:val="00B5221A"/>
    <w:rsid w:val="00B5421B"/>
    <w:rsid w:val="00B54B6E"/>
    <w:rsid w:val="00B54FE5"/>
    <w:rsid w:val="00B55BAC"/>
    <w:rsid w:val="00B5613C"/>
    <w:rsid w:val="00B56CD9"/>
    <w:rsid w:val="00B57194"/>
    <w:rsid w:val="00B600B1"/>
    <w:rsid w:val="00B60201"/>
    <w:rsid w:val="00B61BFF"/>
    <w:rsid w:val="00B61C20"/>
    <w:rsid w:val="00B62C50"/>
    <w:rsid w:val="00B630BE"/>
    <w:rsid w:val="00B638FD"/>
    <w:rsid w:val="00B640CF"/>
    <w:rsid w:val="00B65666"/>
    <w:rsid w:val="00B65C07"/>
    <w:rsid w:val="00B66E3F"/>
    <w:rsid w:val="00B700C9"/>
    <w:rsid w:val="00B72671"/>
    <w:rsid w:val="00B72DF0"/>
    <w:rsid w:val="00B73309"/>
    <w:rsid w:val="00B73F5E"/>
    <w:rsid w:val="00B740D5"/>
    <w:rsid w:val="00B7477F"/>
    <w:rsid w:val="00B75096"/>
    <w:rsid w:val="00B75A23"/>
    <w:rsid w:val="00B75DA8"/>
    <w:rsid w:val="00B77286"/>
    <w:rsid w:val="00B8023E"/>
    <w:rsid w:val="00B80CD2"/>
    <w:rsid w:val="00B8255E"/>
    <w:rsid w:val="00B83A26"/>
    <w:rsid w:val="00B84D61"/>
    <w:rsid w:val="00B85800"/>
    <w:rsid w:val="00B873E2"/>
    <w:rsid w:val="00B87625"/>
    <w:rsid w:val="00B87EFA"/>
    <w:rsid w:val="00B90231"/>
    <w:rsid w:val="00B902B0"/>
    <w:rsid w:val="00B92A59"/>
    <w:rsid w:val="00B95591"/>
    <w:rsid w:val="00B95E05"/>
    <w:rsid w:val="00BA00AC"/>
    <w:rsid w:val="00BA032A"/>
    <w:rsid w:val="00BA451C"/>
    <w:rsid w:val="00BA4B34"/>
    <w:rsid w:val="00BA52D2"/>
    <w:rsid w:val="00BA5495"/>
    <w:rsid w:val="00BA6645"/>
    <w:rsid w:val="00BB20FC"/>
    <w:rsid w:val="00BB2868"/>
    <w:rsid w:val="00BB488E"/>
    <w:rsid w:val="00BB543F"/>
    <w:rsid w:val="00BB7706"/>
    <w:rsid w:val="00BB7D97"/>
    <w:rsid w:val="00BC01AE"/>
    <w:rsid w:val="00BC0F21"/>
    <w:rsid w:val="00BC109C"/>
    <w:rsid w:val="00BC11C0"/>
    <w:rsid w:val="00BC147A"/>
    <w:rsid w:val="00BC30F0"/>
    <w:rsid w:val="00BC4710"/>
    <w:rsid w:val="00BC5ACE"/>
    <w:rsid w:val="00BC5D00"/>
    <w:rsid w:val="00BD020C"/>
    <w:rsid w:val="00BD0DBD"/>
    <w:rsid w:val="00BD29FC"/>
    <w:rsid w:val="00BD3A77"/>
    <w:rsid w:val="00BD630D"/>
    <w:rsid w:val="00BD6F67"/>
    <w:rsid w:val="00BE01E8"/>
    <w:rsid w:val="00BE11CD"/>
    <w:rsid w:val="00BE1B0B"/>
    <w:rsid w:val="00BE1EC4"/>
    <w:rsid w:val="00BE214A"/>
    <w:rsid w:val="00BE2484"/>
    <w:rsid w:val="00BE312C"/>
    <w:rsid w:val="00BE4CEA"/>
    <w:rsid w:val="00BE4E79"/>
    <w:rsid w:val="00BE6010"/>
    <w:rsid w:val="00BE69EE"/>
    <w:rsid w:val="00BE6BB8"/>
    <w:rsid w:val="00BE7832"/>
    <w:rsid w:val="00BE7AB5"/>
    <w:rsid w:val="00BE7FD8"/>
    <w:rsid w:val="00BF14CF"/>
    <w:rsid w:val="00BF167D"/>
    <w:rsid w:val="00BF243D"/>
    <w:rsid w:val="00BF40E9"/>
    <w:rsid w:val="00BF4C79"/>
    <w:rsid w:val="00BF545F"/>
    <w:rsid w:val="00BF550E"/>
    <w:rsid w:val="00BF5EDE"/>
    <w:rsid w:val="00BF6DD9"/>
    <w:rsid w:val="00BF7107"/>
    <w:rsid w:val="00BF7226"/>
    <w:rsid w:val="00BF78FC"/>
    <w:rsid w:val="00BF7A6B"/>
    <w:rsid w:val="00BF7AC5"/>
    <w:rsid w:val="00C01D37"/>
    <w:rsid w:val="00C0205C"/>
    <w:rsid w:val="00C02583"/>
    <w:rsid w:val="00C029C4"/>
    <w:rsid w:val="00C031F3"/>
    <w:rsid w:val="00C038BD"/>
    <w:rsid w:val="00C03C52"/>
    <w:rsid w:val="00C04A6C"/>
    <w:rsid w:val="00C04BFE"/>
    <w:rsid w:val="00C04FD5"/>
    <w:rsid w:val="00C05507"/>
    <w:rsid w:val="00C05511"/>
    <w:rsid w:val="00C0663C"/>
    <w:rsid w:val="00C07CA6"/>
    <w:rsid w:val="00C10525"/>
    <w:rsid w:val="00C10ED5"/>
    <w:rsid w:val="00C11467"/>
    <w:rsid w:val="00C114ED"/>
    <w:rsid w:val="00C11EBF"/>
    <w:rsid w:val="00C150D0"/>
    <w:rsid w:val="00C15484"/>
    <w:rsid w:val="00C15DD6"/>
    <w:rsid w:val="00C162AC"/>
    <w:rsid w:val="00C1667A"/>
    <w:rsid w:val="00C17C8A"/>
    <w:rsid w:val="00C20E59"/>
    <w:rsid w:val="00C21BE8"/>
    <w:rsid w:val="00C240C4"/>
    <w:rsid w:val="00C2446A"/>
    <w:rsid w:val="00C248AB"/>
    <w:rsid w:val="00C254BC"/>
    <w:rsid w:val="00C255D8"/>
    <w:rsid w:val="00C25C9F"/>
    <w:rsid w:val="00C25D04"/>
    <w:rsid w:val="00C26631"/>
    <w:rsid w:val="00C26BA2"/>
    <w:rsid w:val="00C27E0C"/>
    <w:rsid w:val="00C30CA1"/>
    <w:rsid w:val="00C30DC4"/>
    <w:rsid w:val="00C319A2"/>
    <w:rsid w:val="00C32840"/>
    <w:rsid w:val="00C32B2F"/>
    <w:rsid w:val="00C34838"/>
    <w:rsid w:val="00C34F99"/>
    <w:rsid w:val="00C35ABC"/>
    <w:rsid w:val="00C37375"/>
    <w:rsid w:val="00C37903"/>
    <w:rsid w:val="00C41E00"/>
    <w:rsid w:val="00C41EAB"/>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04D"/>
    <w:rsid w:val="00C564D1"/>
    <w:rsid w:val="00C564E6"/>
    <w:rsid w:val="00C566FF"/>
    <w:rsid w:val="00C567B0"/>
    <w:rsid w:val="00C603CF"/>
    <w:rsid w:val="00C61A49"/>
    <w:rsid w:val="00C62256"/>
    <w:rsid w:val="00C64207"/>
    <w:rsid w:val="00C64E1A"/>
    <w:rsid w:val="00C66610"/>
    <w:rsid w:val="00C66D7D"/>
    <w:rsid w:val="00C66E7E"/>
    <w:rsid w:val="00C67283"/>
    <w:rsid w:val="00C70C35"/>
    <w:rsid w:val="00C73856"/>
    <w:rsid w:val="00C73DDF"/>
    <w:rsid w:val="00C742FB"/>
    <w:rsid w:val="00C745F6"/>
    <w:rsid w:val="00C75D4E"/>
    <w:rsid w:val="00C7666B"/>
    <w:rsid w:val="00C76AC1"/>
    <w:rsid w:val="00C800E8"/>
    <w:rsid w:val="00C80B2A"/>
    <w:rsid w:val="00C81B6E"/>
    <w:rsid w:val="00C81E07"/>
    <w:rsid w:val="00C831B6"/>
    <w:rsid w:val="00C843AC"/>
    <w:rsid w:val="00C84E74"/>
    <w:rsid w:val="00C85BDC"/>
    <w:rsid w:val="00C871D4"/>
    <w:rsid w:val="00C87694"/>
    <w:rsid w:val="00C87E68"/>
    <w:rsid w:val="00C907C7"/>
    <w:rsid w:val="00C90ED1"/>
    <w:rsid w:val="00C9106F"/>
    <w:rsid w:val="00C9190C"/>
    <w:rsid w:val="00C928EE"/>
    <w:rsid w:val="00C9292C"/>
    <w:rsid w:val="00C93D08"/>
    <w:rsid w:val="00C93DF5"/>
    <w:rsid w:val="00C94C6D"/>
    <w:rsid w:val="00C95B9D"/>
    <w:rsid w:val="00C96852"/>
    <w:rsid w:val="00C969BD"/>
    <w:rsid w:val="00C974CD"/>
    <w:rsid w:val="00C97A3F"/>
    <w:rsid w:val="00CA004B"/>
    <w:rsid w:val="00CA0ECD"/>
    <w:rsid w:val="00CA1083"/>
    <w:rsid w:val="00CA17F3"/>
    <w:rsid w:val="00CA207B"/>
    <w:rsid w:val="00CA25E3"/>
    <w:rsid w:val="00CA3F3E"/>
    <w:rsid w:val="00CA4599"/>
    <w:rsid w:val="00CA5234"/>
    <w:rsid w:val="00CA576B"/>
    <w:rsid w:val="00CA7199"/>
    <w:rsid w:val="00CB0923"/>
    <w:rsid w:val="00CB4333"/>
    <w:rsid w:val="00CB64B6"/>
    <w:rsid w:val="00CB6708"/>
    <w:rsid w:val="00CB68FC"/>
    <w:rsid w:val="00CB772E"/>
    <w:rsid w:val="00CB7E28"/>
    <w:rsid w:val="00CC16C5"/>
    <w:rsid w:val="00CC1DFA"/>
    <w:rsid w:val="00CC2016"/>
    <w:rsid w:val="00CC2D72"/>
    <w:rsid w:val="00CC3045"/>
    <w:rsid w:val="00CC3536"/>
    <w:rsid w:val="00CC49A2"/>
    <w:rsid w:val="00CC5AA8"/>
    <w:rsid w:val="00CC611F"/>
    <w:rsid w:val="00CC6170"/>
    <w:rsid w:val="00CC66D9"/>
    <w:rsid w:val="00CC7C15"/>
    <w:rsid w:val="00CC7E7D"/>
    <w:rsid w:val="00CD04DA"/>
    <w:rsid w:val="00CD08BD"/>
    <w:rsid w:val="00CD0EEB"/>
    <w:rsid w:val="00CD334F"/>
    <w:rsid w:val="00CD35E2"/>
    <w:rsid w:val="00CD3783"/>
    <w:rsid w:val="00CD4117"/>
    <w:rsid w:val="00CD499B"/>
    <w:rsid w:val="00CD6150"/>
    <w:rsid w:val="00CD693B"/>
    <w:rsid w:val="00CD7471"/>
    <w:rsid w:val="00CD78CD"/>
    <w:rsid w:val="00CE0752"/>
    <w:rsid w:val="00CE2C3B"/>
    <w:rsid w:val="00CE345A"/>
    <w:rsid w:val="00CE3BCB"/>
    <w:rsid w:val="00CE3E29"/>
    <w:rsid w:val="00CE413A"/>
    <w:rsid w:val="00CE4E6A"/>
    <w:rsid w:val="00CE55E6"/>
    <w:rsid w:val="00CE646B"/>
    <w:rsid w:val="00CE7DA9"/>
    <w:rsid w:val="00CF2A0C"/>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20F"/>
    <w:rsid w:val="00D104D6"/>
    <w:rsid w:val="00D11939"/>
    <w:rsid w:val="00D11A3B"/>
    <w:rsid w:val="00D128F7"/>
    <w:rsid w:val="00D135E4"/>
    <w:rsid w:val="00D139EC"/>
    <w:rsid w:val="00D1405D"/>
    <w:rsid w:val="00D142F0"/>
    <w:rsid w:val="00D16093"/>
    <w:rsid w:val="00D16AC6"/>
    <w:rsid w:val="00D20212"/>
    <w:rsid w:val="00D20CF0"/>
    <w:rsid w:val="00D21489"/>
    <w:rsid w:val="00D219DD"/>
    <w:rsid w:val="00D21FA5"/>
    <w:rsid w:val="00D225EC"/>
    <w:rsid w:val="00D235B3"/>
    <w:rsid w:val="00D24E51"/>
    <w:rsid w:val="00D24F7D"/>
    <w:rsid w:val="00D259C1"/>
    <w:rsid w:val="00D26C74"/>
    <w:rsid w:val="00D279A3"/>
    <w:rsid w:val="00D27F74"/>
    <w:rsid w:val="00D32ABD"/>
    <w:rsid w:val="00D331E0"/>
    <w:rsid w:val="00D346E1"/>
    <w:rsid w:val="00D34CD6"/>
    <w:rsid w:val="00D353F6"/>
    <w:rsid w:val="00D356B5"/>
    <w:rsid w:val="00D356F2"/>
    <w:rsid w:val="00D35D61"/>
    <w:rsid w:val="00D37FBA"/>
    <w:rsid w:val="00D4032D"/>
    <w:rsid w:val="00D414E2"/>
    <w:rsid w:val="00D4227C"/>
    <w:rsid w:val="00D42D92"/>
    <w:rsid w:val="00D434D2"/>
    <w:rsid w:val="00D43C01"/>
    <w:rsid w:val="00D455F3"/>
    <w:rsid w:val="00D458A3"/>
    <w:rsid w:val="00D46C0D"/>
    <w:rsid w:val="00D46F2F"/>
    <w:rsid w:val="00D50225"/>
    <w:rsid w:val="00D50558"/>
    <w:rsid w:val="00D5092B"/>
    <w:rsid w:val="00D50FEE"/>
    <w:rsid w:val="00D5331E"/>
    <w:rsid w:val="00D537E7"/>
    <w:rsid w:val="00D55456"/>
    <w:rsid w:val="00D57819"/>
    <w:rsid w:val="00D6013A"/>
    <w:rsid w:val="00D60D24"/>
    <w:rsid w:val="00D60EBA"/>
    <w:rsid w:val="00D61650"/>
    <w:rsid w:val="00D618FE"/>
    <w:rsid w:val="00D6205C"/>
    <w:rsid w:val="00D62718"/>
    <w:rsid w:val="00D62BF1"/>
    <w:rsid w:val="00D63048"/>
    <w:rsid w:val="00D64172"/>
    <w:rsid w:val="00D65850"/>
    <w:rsid w:val="00D65DE0"/>
    <w:rsid w:val="00D70B34"/>
    <w:rsid w:val="00D718CD"/>
    <w:rsid w:val="00D71C1B"/>
    <w:rsid w:val="00D71DDE"/>
    <w:rsid w:val="00D725FD"/>
    <w:rsid w:val="00D7398B"/>
    <w:rsid w:val="00D73CA6"/>
    <w:rsid w:val="00D73D55"/>
    <w:rsid w:val="00D74E77"/>
    <w:rsid w:val="00D75AFC"/>
    <w:rsid w:val="00D75F1C"/>
    <w:rsid w:val="00D80254"/>
    <w:rsid w:val="00D805F0"/>
    <w:rsid w:val="00D80936"/>
    <w:rsid w:val="00D84690"/>
    <w:rsid w:val="00D84AD5"/>
    <w:rsid w:val="00D8564C"/>
    <w:rsid w:val="00D85BEF"/>
    <w:rsid w:val="00D90826"/>
    <w:rsid w:val="00D92AA4"/>
    <w:rsid w:val="00D92BEA"/>
    <w:rsid w:val="00D92CA1"/>
    <w:rsid w:val="00D932EA"/>
    <w:rsid w:val="00D9398F"/>
    <w:rsid w:val="00D9464F"/>
    <w:rsid w:val="00D949FB"/>
    <w:rsid w:val="00D94AA5"/>
    <w:rsid w:val="00D94D90"/>
    <w:rsid w:val="00D94E84"/>
    <w:rsid w:val="00D95AD8"/>
    <w:rsid w:val="00D9646E"/>
    <w:rsid w:val="00D9650F"/>
    <w:rsid w:val="00D96534"/>
    <w:rsid w:val="00D96BB1"/>
    <w:rsid w:val="00D96E22"/>
    <w:rsid w:val="00D9726C"/>
    <w:rsid w:val="00DA0225"/>
    <w:rsid w:val="00DA08EA"/>
    <w:rsid w:val="00DA0E25"/>
    <w:rsid w:val="00DA1122"/>
    <w:rsid w:val="00DA1FDA"/>
    <w:rsid w:val="00DA2225"/>
    <w:rsid w:val="00DA2568"/>
    <w:rsid w:val="00DA27CC"/>
    <w:rsid w:val="00DA2F9E"/>
    <w:rsid w:val="00DA3F93"/>
    <w:rsid w:val="00DA4B8D"/>
    <w:rsid w:val="00DA4E7B"/>
    <w:rsid w:val="00DA585A"/>
    <w:rsid w:val="00DA5C3C"/>
    <w:rsid w:val="00DA5E6C"/>
    <w:rsid w:val="00DA6609"/>
    <w:rsid w:val="00DA6BBB"/>
    <w:rsid w:val="00DA6DC7"/>
    <w:rsid w:val="00DB010A"/>
    <w:rsid w:val="00DB142C"/>
    <w:rsid w:val="00DB1C17"/>
    <w:rsid w:val="00DB28D7"/>
    <w:rsid w:val="00DB367C"/>
    <w:rsid w:val="00DB3D35"/>
    <w:rsid w:val="00DB4467"/>
    <w:rsid w:val="00DB459A"/>
    <w:rsid w:val="00DB45B0"/>
    <w:rsid w:val="00DB4C58"/>
    <w:rsid w:val="00DB5247"/>
    <w:rsid w:val="00DB56B1"/>
    <w:rsid w:val="00DB5E30"/>
    <w:rsid w:val="00DB689A"/>
    <w:rsid w:val="00DC1662"/>
    <w:rsid w:val="00DC1AF3"/>
    <w:rsid w:val="00DC1F40"/>
    <w:rsid w:val="00DC239D"/>
    <w:rsid w:val="00DC4270"/>
    <w:rsid w:val="00DC433E"/>
    <w:rsid w:val="00DC52E0"/>
    <w:rsid w:val="00DC6290"/>
    <w:rsid w:val="00DC6411"/>
    <w:rsid w:val="00DC6915"/>
    <w:rsid w:val="00DC79DF"/>
    <w:rsid w:val="00DC7B31"/>
    <w:rsid w:val="00DD0860"/>
    <w:rsid w:val="00DD0B7F"/>
    <w:rsid w:val="00DD2223"/>
    <w:rsid w:val="00DD2ADA"/>
    <w:rsid w:val="00DD3021"/>
    <w:rsid w:val="00DD3ABE"/>
    <w:rsid w:val="00DD3AC5"/>
    <w:rsid w:val="00DD4505"/>
    <w:rsid w:val="00DD50D4"/>
    <w:rsid w:val="00DD62DD"/>
    <w:rsid w:val="00DD7407"/>
    <w:rsid w:val="00DE0934"/>
    <w:rsid w:val="00DE0A55"/>
    <w:rsid w:val="00DE16B2"/>
    <w:rsid w:val="00DE35AB"/>
    <w:rsid w:val="00DE3805"/>
    <w:rsid w:val="00DE501A"/>
    <w:rsid w:val="00DE6082"/>
    <w:rsid w:val="00DE61EA"/>
    <w:rsid w:val="00DE6DEE"/>
    <w:rsid w:val="00DE713F"/>
    <w:rsid w:val="00DE7384"/>
    <w:rsid w:val="00DE74E8"/>
    <w:rsid w:val="00DE7549"/>
    <w:rsid w:val="00DF2100"/>
    <w:rsid w:val="00DF2A07"/>
    <w:rsid w:val="00DF436E"/>
    <w:rsid w:val="00DF48C6"/>
    <w:rsid w:val="00DF4A31"/>
    <w:rsid w:val="00DF546B"/>
    <w:rsid w:val="00DF582C"/>
    <w:rsid w:val="00DF5A1C"/>
    <w:rsid w:val="00DF5A67"/>
    <w:rsid w:val="00DF677B"/>
    <w:rsid w:val="00E02377"/>
    <w:rsid w:val="00E023EA"/>
    <w:rsid w:val="00E04A61"/>
    <w:rsid w:val="00E04CBF"/>
    <w:rsid w:val="00E05786"/>
    <w:rsid w:val="00E06BA3"/>
    <w:rsid w:val="00E06F3C"/>
    <w:rsid w:val="00E0774C"/>
    <w:rsid w:val="00E07BFC"/>
    <w:rsid w:val="00E11D3B"/>
    <w:rsid w:val="00E12084"/>
    <w:rsid w:val="00E12B0D"/>
    <w:rsid w:val="00E12BE8"/>
    <w:rsid w:val="00E1377B"/>
    <w:rsid w:val="00E13D43"/>
    <w:rsid w:val="00E14DF4"/>
    <w:rsid w:val="00E203E1"/>
    <w:rsid w:val="00E207C3"/>
    <w:rsid w:val="00E20837"/>
    <w:rsid w:val="00E21D42"/>
    <w:rsid w:val="00E22689"/>
    <w:rsid w:val="00E22736"/>
    <w:rsid w:val="00E22F3B"/>
    <w:rsid w:val="00E23227"/>
    <w:rsid w:val="00E23DD9"/>
    <w:rsid w:val="00E24772"/>
    <w:rsid w:val="00E272C6"/>
    <w:rsid w:val="00E27AE1"/>
    <w:rsid w:val="00E301D7"/>
    <w:rsid w:val="00E3035F"/>
    <w:rsid w:val="00E30E9D"/>
    <w:rsid w:val="00E31FEE"/>
    <w:rsid w:val="00E3265A"/>
    <w:rsid w:val="00E33439"/>
    <w:rsid w:val="00E33D59"/>
    <w:rsid w:val="00E34E66"/>
    <w:rsid w:val="00E36AEA"/>
    <w:rsid w:val="00E36C09"/>
    <w:rsid w:val="00E3743B"/>
    <w:rsid w:val="00E417AB"/>
    <w:rsid w:val="00E447DE"/>
    <w:rsid w:val="00E44FDE"/>
    <w:rsid w:val="00E45F0D"/>
    <w:rsid w:val="00E45F39"/>
    <w:rsid w:val="00E467D8"/>
    <w:rsid w:val="00E46A58"/>
    <w:rsid w:val="00E47992"/>
    <w:rsid w:val="00E50E66"/>
    <w:rsid w:val="00E513D4"/>
    <w:rsid w:val="00E5140A"/>
    <w:rsid w:val="00E523F7"/>
    <w:rsid w:val="00E53283"/>
    <w:rsid w:val="00E53C25"/>
    <w:rsid w:val="00E54574"/>
    <w:rsid w:val="00E54DDF"/>
    <w:rsid w:val="00E55193"/>
    <w:rsid w:val="00E55260"/>
    <w:rsid w:val="00E5565E"/>
    <w:rsid w:val="00E570A5"/>
    <w:rsid w:val="00E571E8"/>
    <w:rsid w:val="00E573CB"/>
    <w:rsid w:val="00E574DF"/>
    <w:rsid w:val="00E575B1"/>
    <w:rsid w:val="00E60CD3"/>
    <w:rsid w:val="00E61151"/>
    <w:rsid w:val="00E63516"/>
    <w:rsid w:val="00E63FD6"/>
    <w:rsid w:val="00E6401C"/>
    <w:rsid w:val="00E64234"/>
    <w:rsid w:val="00E6423D"/>
    <w:rsid w:val="00E65395"/>
    <w:rsid w:val="00E664F4"/>
    <w:rsid w:val="00E66C0F"/>
    <w:rsid w:val="00E70630"/>
    <w:rsid w:val="00E717DE"/>
    <w:rsid w:val="00E71E27"/>
    <w:rsid w:val="00E726F6"/>
    <w:rsid w:val="00E74570"/>
    <w:rsid w:val="00E74913"/>
    <w:rsid w:val="00E75E0A"/>
    <w:rsid w:val="00E76964"/>
    <w:rsid w:val="00E77C9D"/>
    <w:rsid w:val="00E8020D"/>
    <w:rsid w:val="00E80D19"/>
    <w:rsid w:val="00E81614"/>
    <w:rsid w:val="00E81A23"/>
    <w:rsid w:val="00E824AC"/>
    <w:rsid w:val="00E82E0A"/>
    <w:rsid w:val="00E83206"/>
    <w:rsid w:val="00E83465"/>
    <w:rsid w:val="00E84024"/>
    <w:rsid w:val="00E84919"/>
    <w:rsid w:val="00E85176"/>
    <w:rsid w:val="00E85648"/>
    <w:rsid w:val="00E86576"/>
    <w:rsid w:val="00E87620"/>
    <w:rsid w:val="00E87BAA"/>
    <w:rsid w:val="00E9147B"/>
    <w:rsid w:val="00E92C97"/>
    <w:rsid w:val="00E95812"/>
    <w:rsid w:val="00E9665E"/>
    <w:rsid w:val="00E97BDD"/>
    <w:rsid w:val="00EA1034"/>
    <w:rsid w:val="00EA18C4"/>
    <w:rsid w:val="00EA2A0C"/>
    <w:rsid w:val="00EA2B89"/>
    <w:rsid w:val="00EA453F"/>
    <w:rsid w:val="00EA45BC"/>
    <w:rsid w:val="00EA4DF6"/>
    <w:rsid w:val="00EA55F9"/>
    <w:rsid w:val="00EA5C35"/>
    <w:rsid w:val="00EA6035"/>
    <w:rsid w:val="00EA633E"/>
    <w:rsid w:val="00EA7EB9"/>
    <w:rsid w:val="00EB062A"/>
    <w:rsid w:val="00EB0646"/>
    <w:rsid w:val="00EB10BE"/>
    <w:rsid w:val="00EB142C"/>
    <w:rsid w:val="00EB1935"/>
    <w:rsid w:val="00EB2471"/>
    <w:rsid w:val="00EB250B"/>
    <w:rsid w:val="00EB2EAD"/>
    <w:rsid w:val="00EB2F69"/>
    <w:rsid w:val="00EB5192"/>
    <w:rsid w:val="00EB5803"/>
    <w:rsid w:val="00EB59C6"/>
    <w:rsid w:val="00EC0208"/>
    <w:rsid w:val="00EC0444"/>
    <w:rsid w:val="00EC517A"/>
    <w:rsid w:val="00EC53A6"/>
    <w:rsid w:val="00EC5855"/>
    <w:rsid w:val="00EC590F"/>
    <w:rsid w:val="00EC5BD3"/>
    <w:rsid w:val="00EC67BA"/>
    <w:rsid w:val="00EC73D5"/>
    <w:rsid w:val="00EC7993"/>
    <w:rsid w:val="00EC7E23"/>
    <w:rsid w:val="00EC7F13"/>
    <w:rsid w:val="00ED38E8"/>
    <w:rsid w:val="00ED3D1B"/>
    <w:rsid w:val="00ED3D74"/>
    <w:rsid w:val="00ED44E9"/>
    <w:rsid w:val="00ED6584"/>
    <w:rsid w:val="00ED65F8"/>
    <w:rsid w:val="00ED73FC"/>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14D"/>
    <w:rsid w:val="00EE53F9"/>
    <w:rsid w:val="00EE6065"/>
    <w:rsid w:val="00EE62D3"/>
    <w:rsid w:val="00EE737C"/>
    <w:rsid w:val="00EF030C"/>
    <w:rsid w:val="00EF7507"/>
    <w:rsid w:val="00F00285"/>
    <w:rsid w:val="00F0269B"/>
    <w:rsid w:val="00F02907"/>
    <w:rsid w:val="00F04115"/>
    <w:rsid w:val="00F0411B"/>
    <w:rsid w:val="00F0426C"/>
    <w:rsid w:val="00F04AE0"/>
    <w:rsid w:val="00F04B55"/>
    <w:rsid w:val="00F058B4"/>
    <w:rsid w:val="00F0660F"/>
    <w:rsid w:val="00F06BEC"/>
    <w:rsid w:val="00F06DF9"/>
    <w:rsid w:val="00F1004C"/>
    <w:rsid w:val="00F101D0"/>
    <w:rsid w:val="00F10C45"/>
    <w:rsid w:val="00F11927"/>
    <w:rsid w:val="00F1206A"/>
    <w:rsid w:val="00F1234C"/>
    <w:rsid w:val="00F12D6A"/>
    <w:rsid w:val="00F14B55"/>
    <w:rsid w:val="00F151F9"/>
    <w:rsid w:val="00F153E0"/>
    <w:rsid w:val="00F15909"/>
    <w:rsid w:val="00F15CD3"/>
    <w:rsid w:val="00F1722D"/>
    <w:rsid w:val="00F1738E"/>
    <w:rsid w:val="00F177EE"/>
    <w:rsid w:val="00F17F7B"/>
    <w:rsid w:val="00F206F7"/>
    <w:rsid w:val="00F20E89"/>
    <w:rsid w:val="00F21664"/>
    <w:rsid w:val="00F21815"/>
    <w:rsid w:val="00F21C36"/>
    <w:rsid w:val="00F237FF"/>
    <w:rsid w:val="00F2416F"/>
    <w:rsid w:val="00F25659"/>
    <w:rsid w:val="00F25B43"/>
    <w:rsid w:val="00F25E2A"/>
    <w:rsid w:val="00F271E7"/>
    <w:rsid w:val="00F27638"/>
    <w:rsid w:val="00F27D97"/>
    <w:rsid w:val="00F30885"/>
    <w:rsid w:val="00F30FDD"/>
    <w:rsid w:val="00F31A0D"/>
    <w:rsid w:val="00F329D6"/>
    <w:rsid w:val="00F33AFE"/>
    <w:rsid w:val="00F3558D"/>
    <w:rsid w:val="00F3562F"/>
    <w:rsid w:val="00F36660"/>
    <w:rsid w:val="00F366E3"/>
    <w:rsid w:val="00F37519"/>
    <w:rsid w:val="00F37ECA"/>
    <w:rsid w:val="00F40B20"/>
    <w:rsid w:val="00F413AB"/>
    <w:rsid w:val="00F41665"/>
    <w:rsid w:val="00F43087"/>
    <w:rsid w:val="00F43B29"/>
    <w:rsid w:val="00F43F03"/>
    <w:rsid w:val="00F44BCE"/>
    <w:rsid w:val="00F466F9"/>
    <w:rsid w:val="00F47BD8"/>
    <w:rsid w:val="00F47D6E"/>
    <w:rsid w:val="00F5073C"/>
    <w:rsid w:val="00F511FA"/>
    <w:rsid w:val="00F52035"/>
    <w:rsid w:val="00F52120"/>
    <w:rsid w:val="00F53028"/>
    <w:rsid w:val="00F54910"/>
    <w:rsid w:val="00F56571"/>
    <w:rsid w:val="00F56B3C"/>
    <w:rsid w:val="00F618AD"/>
    <w:rsid w:val="00F61EEA"/>
    <w:rsid w:val="00F62001"/>
    <w:rsid w:val="00F622CA"/>
    <w:rsid w:val="00F62C82"/>
    <w:rsid w:val="00F62D37"/>
    <w:rsid w:val="00F6325F"/>
    <w:rsid w:val="00F637DD"/>
    <w:rsid w:val="00F63FCC"/>
    <w:rsid w:val="00F6558C"/>
    <w:rsid w:val="00F660B8"/>
    <w:rsid w:val="00F66BE6"/>
    <w:rsid w:val="00F66DAF"/>
    <w:rsid w:val="00F6796F"/>
    <w:rsid w:val="00F73595"/>
    <w:rsid w:val="00F7361E"/>
    <w:rsid w:val="00F73EBF"/>
    <w:rsid w:val="00F745AA"/>
    <w:rsid w:val="00F74D4B"/>
    <w:rsid w:val="00F764FE"/>
    <w:rsid w:val="00F76858"/>
    <w:rsid w:val="00F76BE6"/>
    <w:rsid w:val="00F77EAA"/>
    <w:rsid w:val="00F77EEE"/>
    <w:rsid w:val="00F81C3F"/>
    <w:rsid w:val="00F833BD"/>
    <w:rsid w:val="00F83782"/>
    <w:rsid w:val="00F8406C"/>
    <w:rsid w:val="00F84446"/>
    <w:rsid w:val="00F84DBC"/>
    <w:rsid w:val="00F84FDE"/>
    <w:rsid w:val="00F85082"/>
    <w:rsid w:val="00F85CF4"/>
    <w:rsid w:val="00F86D9B"/>
    <w:rsid w:val="00F87188"/>
    <w:rsid w:val="00F8724A"/>
    <w:rsid w:val="00F9017D"/>
    <w:rsid w:val="00F905C7"/>
    <w:rsid w:val="00F92CE6"/>
    <w:rsid w:val="00F93FE2"/>
    <w:rsid w:val="00F940CB"/>
    <w:rsid w:val="00F9552A"/>
    <w:rsid w:val="00F95EFB"/>
    <w:rsid w:val="00F963A8"/>
    <w:rsid w:val="00F9767F"/>
    <w:rsid w:val="00F97BF6"/>
    <w:rsid w:val="00FA0350"/>
    <w:rsid w:val="00FA17F3"/>
    <w:rsid w:val="00FA27F3"/>
    <w:rsid w:val="00FA3DF2"/>
    <w:rsid w:val="00FA5880"/>
    <w:rsid w:val="00FA613C"/>
    <w:rsid w:val="00FB2CA0"/>
    <w:rsid w:val="00FB393E"/>
    <w:rsid w:val="00FB3D07"/>
    <w:rsid w:val="00FB410B"/>
    <w:rsid w:val="00FB416D"/>
    <w:rsid w:val="00FB460B"/>
    <w:rsid w:val="00FB4E17"/>
    <w:rsid w:val="00FB6D45"/>
    <w:rsid w:val="00FB7F82"/>
    <w:rsid w:val="00FB7FCF"/>
    <w:rsid w:val="00FC11A1"/>
    <w:rsid w:val="00FC1DF5"/>
    <w:rsid w:val="00FC259E"/>
    <w:rsid w:val="00FC38C7"/>
    <w:rsid w:val="00FC39B8"/>
    <w:rsid w:val="00FC46C9"/>
    <w:rsid w:val="00FC4A74"/>
    <w:rsid w:val="00FC6570"/>
    <w:rsid w:val="00FC6F6A"/>
    <w:rsid w:val="00FC71FA"/>
    <w:rsid w:val="00FD0907"/>
    <w:rsid w:val="00FD1F4F"/>
    <w:rsid w:val="00FD47BA"/>
    <w:rsid w:val="00FD51EA"/>
    <w:rsid w:val="00FD52E3"/>
    <w:rsid w:val="00FD659D"/>
    <w:rsid w:val="00FD717C"/>
    <w:rsid w:val="00FD7D79"/>
    <w:rsid w:val="00FE03EC"/>
    <w:rsid w:val="00FE1463"/>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5EAE"/>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CB2869E"/>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Proposal">
    <w:name w:val="Proposal"/>
    <w:basedOn w:val="a"/>
    <w:qFormat/>
    <w:rsid w:val="00174964"/>
    <w:pPr>
      <w:numPr>
        <w:numId w:val="7"/>
      </w:numPr>
      <w:overflowPunct w:val="0"/>
      <w:autoSpaceDE w:val="0"/>
      <w:autoSpaceDN w:val="0"/>
      <w:adjustRightInd w:val="0"/>
      <w:spacing w:after="120" w:line="240" w:lineRule="auto"/>
      <w:jc w:val="both"/>
      <w:textAlignment w:val="baseline"/>
    </w:pPr>
    <w:rPr>
      <w:rFonts w:ascii="Arial" w:eastAsia="Wingdings" w:hAnsi="Arial" w:cs="Times New Roman"/>
      <w:b/>
      <w:bCs/>
      <w:sz w:val="20"/>
      <w:szCs w:val="20"/>
      <w:lang w:val="x-none" w:eastAsia="x-none"/>
    </w:rPr>
  </w:style>
  <w:style w:type="character" w:customStyle="1" w:styleId="NOZchn">
    <w:name w:val="NO Zchn"/>
    <w:locked/>
    <w:rsid w:val="00174964"/>
    <w:rPr>
      <w:rFonts w:ascii="Times New Roman" w:hAnsi="Times New Roman"/>
      <w:lang w:val="en-GB" w:eastAsia="en-US"/>
    </w:rPr>
  </w:style>
  <w:style w:type="paragraph" w:customStyle="1" w:styleId="PL">
    <w:name w:val="PL"/>
    <w:link w:val="PLChar"/>
    <w:qFormat/>
    <w:rsid w:val="00B5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B51B0D"/>
    <w:rPr>
      <w:rFonts w:ascii="Courier New" w:eastAsia="Times New Roman" w:hAnsi="Courier New" w:cs="Times New Roman"/>
      <w:sz w:val="16"/>
      <w:szCs w:val="20"/>
      <w:shd w:val="clear" w:color="auto" w:fill="E6E6E6"/>
      <w:lang w:val="en-GB" w:eastAsia="en-GB"/>
    </w:rPr>
  </w:style>
  <w:style w:type="character" w:customStyle="1" w:styleId="B1Char1">
    <w:name w:val="B1 Char1"/>
    <w:qFormat/>
    <w:rsid w:val="00B51B0D"/>
    <w:rPr>
      <w:rFonts w:eastAsia="Times New Roman"/>
    </w:rPr>
  </w:style>
  <w:style w:type="paragraph" w:customStyle="1" w:styleId="TH">
    <w:name w:val="TH"/>
    <w:basedOn w:val="a"/>
    <w:link w:val="THChar"/>
    <w:qFormat/>
    <w:rsid w:val="00B51B0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sid w:val="00B51B0D"/>
    <w:rPr>
      <w:rFonts w:ascii="Arial" w:eastAsia="Times New Roman" w:hAnsi="Arial" w:cs="Times New Roman"/>
      <w:b/>
      <w:sz w:val="20"/>
      <w:szCs w:val="20"/>
      <w:lang w:val="zh-CN" w:eastAsia="zh-CN"/>
    </w:rPr>
  </w:style>
  <w:style w:type="character" w:customStyle="1" w:styleId="TALCar">
    <w:name w:val="TAL Car"/>
    <w:qFormat/>
    <w:rsid w:val="00B51B0D"/>
    <w:rPr>
      <w:rFonts w:ascii="Arial" w:eastAsia="Times New Roman" w:hAnsi="Arial"/>
      <w:sz w:val="18"/>
    </w:rPr>
  </w:style>
  <w:style w:type="character" w:customStyle="1" w:styleId="TAHCar">
    <w:name w:val="TAH Car"/>
    <w:link w:val="TAH"/>
    <w:qFormat/>
    <w:locked/>
    <w:rsid w:val="00B51B0D"/>
    <w:rPr>
      <w:rFonts w:ascii="Arial" w:eastAsia="Times New Roman" w:hAnsi="Arial" w:cs="Times New Roman"/>
      <w:b/>
      <w:sz w:val="18"/>
      <w:szCs w:val="20"/>
      <w:lang w:val="en-GB"/>
    </w:rPr>
  </w:style>
  <w:style w:type="paragraph" w:customStyle="1" w:styleId="B2">
    <w:name w:val="B2"/>
    <w:basedOn w:val="21"/>
    <w:link w:val="B2Char"/>
    <w:qFormat/>
    <w:rsid w:val="001B1785"/>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zh-CN" w:eastAsia="zh-CN"/>
    </w:rPr>
  </w:style>
  <w:style w:type="character" w:customStyle="1" w:styleId="B2Char">
    <w:name w:val="B2 Char"/>
    <w:link w:val="B2"/>
    <w:qFormat/>
    <w:rsid w:val="001B1785"/>
    <w:rPr>
      <w:rFonts w:ascii="Times New Roman" w:eastAsia="Times New Roman" w:hAnsi="Times New Roman" w:cs="Times New Roman"/>
      <w:sz w:val="20"/>
      <w:szCs w:val="20"/>
      <w:lang w:val="zh-CN" w:eastAsia="zh-CN"/>
    </w:rPr>
  </w:style>
  <w:style w:type="paragraph" w:styleId="21">
    <w:name w:val="List 2"/>
    <w:basedOn w:val="a"/>
    <w:uiPriority w:val="99"/>
    <w:semiHidden/>
    <w:unhideWhenUsed/>
    <w:rsid w:val="001B178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34252346">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3317805">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52860088">
      <w:bodyDiv w:val="1"/>
      <w:marLeft w:val="0"/>
      <w:marRight w:val="0"/>
      <w:marTop w:val="0"/>
      <w:marBottom w:val="0"/>
      <w:divBdr>
        <w:top w:val="none" w:sz="0" w:space="0" w:color="auto"/>
        <w:left w:val="none" w:sz="0" w:space="0" w:color="auto"/>
        <w:bottom w:val="none" w:sz="0" w:space="0" w:color="auto"/>
        <w:right w:val="none" w:sz="0" w:space="0" w:color="auto"/>
      </w:divBdr>
      <w:divsChild>
        <w:div w:id="135924398">
          <w:marLeft w:val="0"/>
          <w:marRight w:val="0"/>
          <w:marTop w:val="0"/>
          <w:marBottom w:val="0"/>
          <w:divBdr>
            <w:top w:val="none" w:sz="0" w:space="0" w:color="auto"/>
            <w:left w:val="none" w:sz="0" w:space="0" w:color="auto"/>
            <w:bottom w:val="none" w:sz="0" w:space="0" w:color="auto"/>
            <w:right w:val="none" w:sz="0" w:space="0" w:color="auto"/>
          </w:divBdr>
          <w:divsChild>
            <w:div w:id="922177181">
              <w:marLeft w:val="0"/>
              <w:marRight w:val="0"/>
              <w:marTop w:val="0"/>
              <w:marBottom w:val="0"/>
              <w:divBdr>
                <w:top w:val="none" w:sz="0" w:space="0" w:color="auto"/>
                <w:left w:val="none" w:sz="0" w:space="0" w:color="auto"/>
                <w:bottom w:val="none" w:sz="0" w:space="0" w:color="auto"/>
                <w:right w:val="none" w:sz="0" w:space="0" w:color="auto"/>
              </w:divBdr>
              <w:divsChild>
                <w:div w:id="60980401">
                  <w:marLeft w:val="0"/>
                  <w:marRight w:val="0"/>
                  <w:marTop w:val="0"/>
                  <w:marBottom w:val="0"/>
                  <w:divBdr>
                    <w:top w:val="none" w:sz="0" w:space="0" w:color="auto"/>
                    <w:left w:val="none" w:sz="0" w:space="0" w:color="auto"/>
                    <w:bottom w:val="none" w:sz="0" w:space="0" w:color="auto"/>
                    <w:right w:val="none" w:sz="0" w:space="0" w:color="auto"/>
                  </w:divBdr>
                  <w:divsChild>
                    <w:div w:id="1200780586">
                      <w:marLeft w:val="0"/>
                      <w:marRight w:val="0"/>
                      <w:marTop w:val="0"/>
                      <w:marBottom w:val="0"/>
                      <w:divBdr>
                        <w:top w:val="none" w:sz="0" w:space="0" w:color="auto"/>
                        <w:left w:val="none" w:sz="0" w:space="0" w:color="auto"/>
                        <w:bottom w:val="none" w:sz="0" w:space="0" w:color="auto"/>
                        <w:right w:val="none" w:sz="0" w:space="0" w:color="auto"/>
                      </w:divBdr>
                      <w:divsChild>
                        <w:div w:id="69901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4341">
              <w:marLeft w:val="0"/>
              <w:marRight w:val="0"/>
              <w:marTop w:val="0"/>
              <w:marBottom w:val="0"/>
              <w:divBdr>
                <w:top w:val="none" w:sz="0" w:space="0" w:color="auto"/>
                <w:left w:val="none" w:sz="0" w:space="0" w:color="auto"/>
                <w:bottom w:val="none" w:sz="0" w:space="0" w:color="auto"/>
                <w:right w:val="none" w:sz="0" w:space="0" w:color="auto"/>
              </w:divBdr>
            </w:div>
            <w:div w:id="1446196210">
              <w:marLeft w:val="0"/>
              <w:marRight w:val="0"/>
              <w:marTop w:val="0"/>
              <w:marBottom w:val="0"/>
              <w:divBdr>
                <w:top w:val="none" w:sz="0" w:space="0" w:color="auto"/>
                <w:left w:val="none" w:sz="0" w:space="0" w:color="auto"/>
                <w:bottom w:val="none" w:sz="0" w:space="0" w:color="auto"/>
                <w:right w:val="none" w:sz="0" w:space="0" w:color="auto"/>
              </w:divBdr>
              <w:divsChild>
                <w:div w:id="855458452">
                  <w:marLeft w:val="0"/>
                  <w:marRight w:val="0"/>
                  <w:marTop w:val="0"/>
                  <w:marBottom w:val="0"/>
                  <w:divBdr>
                    <w:top w:val="none" w:sz="0" w:space="0" w:color="auto"/>
                    <w:left w:val="none" w:sz="0" w:space="0" w:color="auto"/>
                    <w:bottom w:val="none" w:sz="0" w:space="0" w:color="auto"/>
                    <w:right w:val="none" w:sz="0" w:space="0" w:color="auto"/>
                  </w:divBdr>
                  <w:divsChild>
                    <w:div w:id="2059012652">
                      <w:marLeft w:val="0"/>
                      <w:marRight w:val="0"/>
                      <w:marTop w:val="0"/>
                      <w:marBottom w:val="0"/>
                      <w:divBdr>
                        <w:top w:val="none" w:sz="0" w:space="0" w:color="auto"/>
                        <w:left w:val="none" w:sz="0" w:space="0" w:color="auto"/>
                        <w:bottom w:val="none" w:sz="0" w:space="0" w:color="auto"/>
                        <w:right w:val="none" w:sz="0" w:space="0" w:color="auto"/>
                      </w:divBdr>
                      <w:divsChild>
                        <w:div w:id="121399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955432">
              <w:marLeft w:val="0"/>
              <w:marRight w:val="0"/>
              <w:marTop w:val="0"/>
              <w:marBottom w:val="0"/>
              <w:divBdr>
                <w:top w:val="none" w:sz="0" w:space="0" w:color="auto"/>
                <w:left w:val="none" w:sz="0" w:space="0" w:color="auto"/>
                <w:bottom w:val="none" w:sz="0" w:space="0" w:color="auto"/>
                <w:right w:val="none" w:sz="0" w:space="0" w:color="auto"/>
              </w:divBdr>
            </w:div>
            <w:div w:id="964581402">
              <w:marLeft w:val="0"/>
              <w:marRight w:val="0"/>
              <w:marTop w:val="0"/>
              <w:marBottom w:val="0"/>
              <w:divBdr>
                <w:top w:val="none" w:sz="0" w:space="0" w:color="auto"/>
                <w:left w:val="none" w:sz="0" w:space="0" w:color="auto"/>
                <w:bottom w:val="none" w:sz="0" w:space="0" w:color="auto"/>
                <w:right w:val="none" w:sz="0" w:space="0" w:color="auto"/>
              </w:divBdr>
              <w:divsChild>
                <w:div w:id="806317455">
                  <w:marLeft w:val="0"/>
                  <w:marRight w:val="0"/>
                  <w:marTop w:val="0"/>
                  <w:marBottom w:val="0"/>
                  <w:divBdr>
                    <w:top w:val="none" w:sz="0" w:space="0" w:color="auto"/>
                    <w:left w:val="none" w:sz="0" w:space="0" w:color="auto"/>
                    <w:bottom w:val="none" w:sz="0" w:space="0" w:color="auto"/>
                    <w:right w:val="none" w:sz="0" w:space="0" w:color="auto"/>
                  </w:divBdr>
                  <w:divsChild>
                    <w:div w:id="1368873261">
                      <w:marLeft w:val="0"/>
                      <w:marRight w:val="0"/>
                      <w:marTop w:val="0"/>
                      <w:marBottom w:val="0"/>
                      <w:divBdr>
                        <w:top w:val="none" w:sz="0" w:space="0" w:color="auto"/>
                        <w:left w:val="none" w:sz="0" w:space="0" w:color="auto"/>
                        <w:bottom w:val="none" w:sz="0" w:space="0" w:color="auto"/>
                        <w:right w:val="none" w:sz="0" w:space="0" w:color="auto"/>
                      </w:divBdr>
                      <w:divsChild>
                        <w:div w:id="8957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456557">
              <w:marLeft w:val="0"/>
              <w:marRight w:val="0"/>
              <w:marTop w:val="0"/>
              <w:marBottom w:val="0"/>
              <w:divBdr>
                <w:top w:val="none" w:sz="0" w:space="0" w:color="auto"/>
                <w:left w:val="none" w:sz="0" w:space="0" w:color="auto"/>
                <w:bottom w:val="none" w:sz="0" w:space="0" w:color="auto"/>
                <w:right w:val="none" w:sz="0" w:space="0" w:color="auto"/>
              </w:divBdr>
            </w:div>
            <w:div w:id="2048750873">
              <w:marLeft w:val="0"/>
              <w:marRight w:val="0"/>
              <w:marTop w:val="0"/>
              <w:marBottom w:val="0"/>
              <w:divBdr>
                <w:top w:val="none" w:sz="0" w:space="0" w:color="auto"/>
                <w:left w:val="none" w:sz="0" w:space="0" w:color="auto"/>
                <w:bottom w:val="none" w:sz="0" w:space="0" w:color="auto"/>
                <w:right w:val="none" w:sz="0" w:space="0" w:color="auto"/>
              </w:divBdr>
              <w:divsChild>
                <w:div w:id="1665627110">
                  <w:marLeft w:val="0"/>
                  <w:marRight w:val="0"/>
                  <w:marTop w:val="0"/>
                  <w:marBottom w:val="0"/>
                  <w:divBdr>
                    <w:top w:val="none" w:sz="0" w:space="0" w:color="auto"/>
                    <w:left w:val="none" w:sz="0" w:space="0" w:color="auto"/>
                    <w:bottom w:val="none" w:sz="0" w:space="0" w:color="auto"/>
                    <w:right w:val="none" w:sz="0" w:space="0" w:color="auto"/>
                  </w:divBdr>
                  <w:divsChild>
                    <w:div w:id="1785613630">
                      <w:marLeft w:val="0"/>
                      <w:marRight w:val="0"/>
                      <w:marTop w:val="0"/>
                      <w:marBottom w:val="0"/>
                      <w:divBdr>
                        <w:top w:val="none" w:sz="0" w:space="0" w:color="auto"/>
                        <w:left w:val="none" w:sz="0" w:space="0" w:color="auto"/>
                        <w:bottom w:val="none" w:sz="0" w:space="0" w:color="auto"/>
                        <w:right w:val="none" w:sz="0" w:space="0" w:color="auto"/>
                      </w:divBdr>
                      <w:divsChild>
                        <w:div w:id="208282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8286">
              <w:marLeft w:val="0"/>
              <w:marRight w:val="0"/>
              <w:marTop w:val="0"/>
              <w:marBottom w:val="0"/>
              <w:divBdr>
                <w:top w:val="none" w:sz="0" w:space="0" w:color="auto"/>
                <w:left w:val="none" w:sz="0" w:space="0" w:color="auto"/>
                <w:bottom w:val="none" w:sz="0" w:space="0" w:color="auto"/>
                <w:right w:val="none" w:sz="0" w:space="0" w:color="auto"/>
              </w:divBdr>
            </w:div>
            <w:div w:id="921179308">
              <w:marLeft w:val="0"/>
              <w:marRight w:val="0"/>
              <w:marTop w:val="0"/>
              <w:marBottom w:val="0"/>
              <w:divBdr>
                <w:top w:val="none" w:sz="0" w:space="0" w:color="auto"/>
                <w:left w:val="none" w:sz="0" w:space="0" w:color="auto"/>
                <w:bottom w:val="none" w:sz="0" w:space="0" w:color="auto"/>
                <w:right w:val="none" w:sz="0" w:space="0" w:color="auto"/>
              </w:divBdr>
              <w:divsChild>
                <w:div w:id="1820684107">
                  <w:marLeft w:val="0"/>
                  <w:marRight w:val="0"/>
                  <w:marTop w:val="0"/>
                  <w:marBottom w:val="0"/>
                  <w:divBdr>
                    <w:top w:val="none" w:sz="0" w:space="0" w:color="auto"/>
                    <w:left w:val="none" w:sz="0" w:space="0" w:color="auto"/>
                    <w:bottom w:val="none" w:sz="0" w:space="0" w:color="auto"/>
                    <w:right w:val="none" w:sz="0" w:space="0" w:color="auto"/>
                  </w:divBdr>
                  <w:divsChild>
                    <w:div w:id="1272665891">
                      <w:marLeft w:val="0"/>
                      <w:marRight w:val="0"/>
                      <w:marTop w:val="0"/>
                      <w:marBottom w:val="0"/>
                      <w:divBdr>
                        <w:top w:val="none" w:sz="0" w:space="0" w:color="auto"/>
                        <w:left w:val="none" w:sz="0" w:space="0" w:color="auto"/>
                        <w:bottom w:val="none" w:sz="0" w:space="0" w:color="auto"/>
                        <w:right w:val="none" w:sz="0" w:space="0" w:color="auto"/>
                      </w:divBdr>
                      <w:divsChild>
                        <w:div w:id="69804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14345">
              <w:marLeft w:val="0"/>
              <w:marRight w:val="0"/>
              <w:marTop w:val="0"/>
              <w:marBottom w:val="0"/>
              <w:divBdr>
                <w:top w:val="none" w:sz="0" w:space="0" w:color="auto"/>
                <w:left w:val="none" w:sz="0" w:space="0" w:color="auto"/>
                <w:bottom w:val="none" w:sz="0" w:space="0" w:color="auto"/>
                <w:right w:val="none" w:sz="0" w:space="0" w:color="auto"/>
              </w:divBdr>
            </w:div>
            <w:div w:id="886062678">
              <w:marLeft w:val="0"/>
              <w:marRight w:val="0"/>
              <w:marTop w:val="0"/>
              <w:marBottom w:val="0"/>
              <w:divBdr>
                <w:top w:val="none" w:sz="0" w:space="0" w:color="auto"/>
                <w:left w:val="none" w:sz="0" w:space="0" w:color="auto"/>
                <w:bottom w:val="none" w:sz="0" w:space="0" w:color="auto"/>
                <w:right w:val="none" w:sz="0" w:space="0" w:color="auto"/>
              </w:divBdr>
              <w:divsChild>
                <w:div w:id="423460120">
                  <w:marLeft w:val="0"/>
                  <w:marRight w:val="0"/>
                  <w:marTop w:val="0"/>
                  <w:marBottom w:val="0"/>
                  <w:divBdr>
                    <w:top w:val="none" w:sz="0" w:space="0" w:color="auto"/>
                    <w:left w:val="none" w:sz="0" w:space="0" w:color="auto"/>
                    <w:bottom w:val="none" w:sz="0" w:space="0" w:color="auto"/>
                    <w:right w:val="none" w:sz="0" w:space="0" w:color="auto"/>
                  </w:divBdr>
                  <w:divsChild>
                    <w:div w:id="184681536">
                      <w:marLeft w:val="0"/>
                      <w:marRight w:val="0"/>
                      <w:marTop w:val="0"/>
                      <w:marBottom w:val="0"/>
                      <w:divBdr>
                        <w:top w:val="none" w:sz="0" w:space="0" w:color="auto"/>
                        <w:left w:val="none" w:sz="0" w:space="0" w:color="auto"/>
                        <w:bottom w:val="none" w:sz="0" w:space="0" w:color="auto"/>
                        <w:right w:val="none" w:sz="0" w:space="0" w:color="auto"/>
                      </w:divBdr>
                      <w:divsChild>
                        <w:div w:id="1324510666">
                          <w:marLeft w:val="0"/>
                          <w:marRight w:val="0"/>
                          <w:marTop w:val="0"/>
                          <w:marBottom w:val="0"/>
                          <w:divBdr>
                            <w:top w:val="none" w:sz="0" w:space="0" w:color="auto"/>
                            <w:left w:val="none" w:sz="0" w:space="0" w:color="auto"/>
                            <w:bottom w:val="none" w:sz="0" w:space="0" w:color="auto"/>
                            <w:right w:val="none" w:sz="0" w:space="0" w:color="auto"/>
                          </w:divBdr>
                          <w:divsChild>
                            <w:div w:id="911819012">
                              <w:marLeft w:val="0"/>
                              <w:marRight w:val="0"/>
                              <w:marTop w:val="0"/>
                              <w:marBottom w:val="0"/>
                              <w:divBdr>
                                <w:top w:val="none" w:sz="0" w:space="0" w:color="auto"/>
                                <w:left w:val="none" w:sz="0" w:space="0" w:color="auto"/>
                                <w:bottom w:val="none" w:sz="0" w:space="0" w:color="auto"/>
                                <w:right w:val="none" w:sz="0" w:space="0" w:color="auto"/>
                              </w:divBdr>
                              <w:divsChild>
                                <w:div w:id="43301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13DAC-B778-4724-A7DC-7A551A0F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787</Words>
  <Characters>4487</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12</cp:revision>
  <cp:lastPrinted>2018-04-02T06:42:00Z</cp:lastPrinted>
  <dcterms:created xsi:type="dcterms:W3CDTF">2021-05-06T13:08:00Z</dcterms:created>
  <dcterms:modified xsi:type="dcterms:W3CDTF">2021-05-07T04:08:00Z</dcterms:modified>
</cp:coreProperties>
</file>